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1962" w14:textId="0C1032AA" w:rsidR="005B6807" w:rsidRPr="008240E1" w:rsidRDefault="005B6807">
      <w:pPr>
        <w:rPr>
          <w:rFonts w:ascii="Calibri Light" w:hAnsi="Calibri Light" w:cs="Calibri Light"/>
          <w:sz w:val="22"/>
          <w:szCs w:val="22"/>
        </w:rPr>
      </w:pPr>
      <w:r w:rsidRPr="008240E1">
        <w:rPr>
          <w:rFonts w:ascii="Calibri Light" w:hAnsi="Calibri Light" w:cs="Calibri Light"/>
          <w:sz w:val="22"/>
          <w:szCs w:val="22"/>
        </w:rPr>
        <w:t>Über AKI</w:t>
      </w:r>
    </w:p>
    <w:p w14:paraId="03E0DBD0" w14:textId="720A58CF" w:rsidR="005B6807" w:rsidRPr="008240E1" w:rsidRDefault="005B6807" w:rsidP="00F3078E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Kurz gesagt: AKI nach Herz-Lungen-Maschine (HLM/CPB) bei Kindern ist multifaktoriell. Die wichtigsten, gut belegten Ursachen/Risikofaktoren lassen sich in patienten-, operations- und intensivmedizinische Faktoren sowie pathophysiologische Mechanismen gliedern.</w:t>
      </w:r>
    </w:p>
    <w:p w14:paraId="645D6DA9" w14:textId="77777777" w:rsidR="005B6807" w:rsidRPr="008240E1" w:rsidRDefault="005B6807" w:rsidP="005B680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1) Patient*innen- und Prä-OP-Faktoren</w:t>
      </w:r>
    </w:p>
    <w:p w14:paraId="6F44E7F3" w14:textId="77777777" w:rsidR="005B6807" w:rsidRPr="008240E1" w:rsidRDefault="005B6807" w:rsidP="00F307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Alter/Größe: Neugeborene, Säuglinge &lt;1 Jahr und geringes Körpergewicht haben das höchste Risiko.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Cyanotische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Vitien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,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Einventrikelphysiologie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 und pulmonale Hypertonie sind zusätzliche Risikotreiber. Höhere OP-Komplexität (z. B. RACHS-1 ≥ 3/STAT 4–5) erhöht das AKI-Risiko. Männliches Geschlecht wurde in niedrig-riskanten Kollektiven als Risikofaktor gefunden.  </w:t>
      </w:r>
    </w:p>
    <w:p w14:paraId="41834346" w14:textId="77777777" w:rsidR="005B6807" w:rsidRPr="008240E1" w:rsidRDefault="005B6807" w:rsidP="00F307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Vorbelastung/Status: Sepsis, Re-Operationen, präoperative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Vasopressor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-Therapie und CPB-Pflichtigkeit an sich erhöhen das Risiko.  </w:t>
      </w:r>
    </w:p>
    <w:p w14:paraId="63B8A0C8" w14:textId="77777777" w:rsidR="005B6807" w:rsidRPr="008240E1" w:rsidRDefault="005B6807" w:rsidP="00F307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Kontrastmittel kurz vor der OP: Evidenz ist uneinheitlich; eine pädiatrische Studie fand keinen zusätzlichen AKI-Anstieg durch perioperative KM-Exposition (Zeitintervall irrelevant).  </w:t>
      </w:r>
    </w:p>
    <w:p w14:paraId="3CFCF604" w14:textId="77777777" w:rsidR="005B6807" w:rsidRPr="008240E1" w:rsidRDefault="005B6807" w:rsidP="00F3078E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</w:p>
    <w:p w14:paraId="4F76DDBB" w14:textId="77777777" w:rsidR="005B6807" w:rsidRPr="008240E1" w:rsidRDefault="005B6807" w:rsidP="005B680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2) Intraoperative (CPB-)Faktoren</w:t>
      </w:r>
    </w:p>
    <w:p w14:paraId="1E252674" w14:textId="77777777" w:rsidR="005B6807" w:rsidRPr="008240E1" w:rsidRDefault="005B6807" w:rsidP="00F3078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CPB-/Klemm-Zeiten: Lange Bypass- und Aorten-Klemmzeiten, komplexe/lange Eingriffe. Tiefe Hypothermie und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zirkulatorischer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 Arrest (DHCA) können das Risiko erhöhen (Daten teils heterogen).  </w:t>
      </w:r>
    </w:p>
    <w:p w14:paraId="1240E99D" w14:textId="77777777" w:rsidR="005B6807" w:rsidRPr="008240E1" w:rsidRDefault="005B6807" w:rsidP="00F3078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Niedrige O₂-Lieferung (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DO₂i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): Unterschreiten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kind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-spezifischer Schwellen auf der HLM ist klar assoziiert mit AKI (z. B. &lt;340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mL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/min/m² bei komplexen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Neonaten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 [STAT 4–5] und &lt;400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mL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/min/m² bei Säuglingen [STAT 1–3]).  </w:t>
      </w:r>
    </w:p>
    <w:p w14:paraId="5F4EEBB9" w14:textId="77777777" w:rsidR="005B6807" w:rsidRPr="008240E1" w:rsidRDefault="005B6807" w:rsidP="00F3078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Hämolyse / freies Hämoglobin (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pfHb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): CPB verursacht ausgeprägte intravaskuläre Hämolyse →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pfHb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 und labiles Eisen fördern pigment-Nephropathie, NO-Verbrauch (renale Vasokonstriktion) und oxidativen Stress. Höhere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pfHb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-Spiegel korrelieren mit AKI.  </w:t>
      </w:r>
    </w:p>
    <w:p w14:paraId="71B6012E" w14:textId="77777777" w:rsidR="005B6807" w:rsidRPr="008240E1" w:rsidRDefault="005B6807" w:rsidP="00F3078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Entzündung/SIRS &amp; Komplement: Kontaktaktivierung am CPB-Kreislauf, Reperfusion und Endotoxämie triggern Entzündung und mikrovaskuläre Dysfunktion.  </w:t>
      </w:r>
    </w:p>
    <w:p w14:paraId="6E582DE8" w14:textId="77777777" w:rsidR="005B6807" w:rsidRPr="008240E1" w:rsidRDefault="005B6807" w:rsidP="00F3078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Hämodilution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/Anämie, niedriger Perfusionsdruck/Flow, Hypo-/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Rewarming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-Stress, Hyperglykämie: jeweils mit AKI assoziiert; Zielgrößen-gesteuerte Perfusion wird empfohlen.  </w:t>
      </w:r>
    </w:p>
    <w:p w14:paraId="47E60236" w14:textId="77777777" w:rsidR="005B6807" w:rsidRPr="008240E1" w:rsidRDefault="005B6807" w:rsidP="00F3078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Transfusionen/Blutprodukte: Größere Erythrozyten-Transfusionsmengen während/kurz nach CPB stehen dosisabhängig mit AKI in Verbindung.  </w:t>
      </w:r>
    </w:p>
    <w:p w14:paraId="5DEF9EDE" w14:textId="77777777" w:rsidR="005B6807" w:rsidRPr="008240E1" w:rsidRDefault="005B6807" w:rsidP="00F3078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Ultrafiltration auf CPB: Hohe UF-Volumina bei Säuglingen sind mit AKI/Fluid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Overload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 assoziiert.  </w:t>
      </w:r>
    </w:p>
    <w:p w14:paraId="4CAE8EE7" w14:textId="77777777" w:rsidR="005B6807" w:rsidRPr="008240E1" w:rsidRDefault="005B6807" w:rsidP="00F3078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Mikroembolien (Luft/Partikel), nicht-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pulsatile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 Perfusion und offener Thorax sind zusätzliche prozedurale Treiber.  </w:t>
      </w:r>
    </w:p>
    <w:p w14:paraId="5FAD0F1B" w14:textId="77777777" w:rsidR="005B6807" w:rsidRPr="008240E1" w:rsidRDefault="005B6807" w:rsidP="00F3078E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</w:p>
    <w:p w14:paraId="0D295AD3" w14:textId="77777777" w:rsidR="005B6807" w:rsidRPr="008240E1" w:rsidRDefault="005B6807" w:rsidP="00F3078E">
      <w:pPr>
        <w:spacing w:before="100" w:beforeAutospacing="1" w:after="100" w:afterAutospacing="1" w:line="240" w:lineRule="auto"/>
        <w:jc w:val="both"/>
        <w:outlineLvl w:val="2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3) Postoperative Faktoren (PICU)</w:t>
      </w:r>
    </w:p>
    <w:p w14:paraId="068E063B" w14:textId="77777777" w:rsidR="005B6807" w:rsidRPr="008240E1" w:rsidRDefault="005B6807" w:rsidP="00F3078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Low-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Cardiac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-Output-Syndrom (LCOS), Hypotonie,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vaskoaktive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 Hochdosis-Therapie: zentrale Auslöser von renaler Minderperfusion/Ischämie.  </w:t>
      </w:r>
    </w:p>
    <w:p w14:paraId="1191B40B" w14:textId="77777777" w:rsidR="005B6807" w:rsidRPr="008240E1" w:rsidRDefault="005B6807" w:rsidP="00F3078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Flüssigkeitsüberladung &amp; venöse Stauung (hoher ZVD): starke Prädiktoren für Morbidität; enge Bilanzierung und ggf. frühe Dialyse sind relevant.  </w:t>
      </w:r>
    </w:p>
    <w:p w14:paraId="1DB4BCBA" w14:textId="77777777" w:rsidR="005B6807" w:rsidRPr="008240E1" w:rsidRDefault="005B6807" w:rsidP="00F3078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Nephrotoxine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: v. a. Aminoglykoside, Vancomycin (insbes. in Kombinationstherapien), NSAID, ggf. Kontrastmittel postoperativ; auch Hydroxyethylstärke meiden.  </w:t>
      </w:r>
    </w:p>
    <w:p w14:paraId="39B8DDEC" w14:textId="77777777" w:rsidR="005B6807" w:rsidRPr="008240E1" w:rsidRDefault="005B6807" w:rsidP="00F3078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Sepsis/Infektionen,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rhabdomyolytische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 Pigmentlast, abdominelles Kompartmentsyndrom, ECMO (Hämolyse-getriebenes AKI unter ECMO ist häufig).  </w:t>
      </w:r>
    </w:p>
    <w:p w14:paraId="042682FA" w14:textId="77777777" w:rsidR="005B6807" w:rsidRPr="008240E1" w:rsidRDefault="005B6807" w:rsidP="005B6807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</w:p>
    <w:p w14:paraId="547B54EF" w14:textId="77777777" w:rsidR="005B6807" w:rsidRPr="008240E1" w:rsidRDefault="005B6807" w:rsidP="005B680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4) Pathophysiologische „Achsen“ (warum es zur AKI kommt)</w:t>
      </w:r>
    </w:p>
    <w:p w14:paraId="1A7643CC" w14:textId="77777777" w:rsidR="005B6807" w:rsidRPr="008240E1" w:rsidRDefault="005B6807" w:rsidP="00F3078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Hämodynamik / Ischämie-Reperfusion: zu wenig renale DO₂ (niedriger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DO₂i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, Hypotonie, LCOS) → medulläre Hypoxie, ATN.  </w:t>
      </w:r>
    </w:p>
    <w:p w14:paraId="46139CF6" w14:textId="77777777" w:rsidR="005B6807" w:rsidRPr="008240E1" w:rsidRDefault="005B6807" w:rsidP="00F3078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Entzündung/Endothel-Dysfunktion/Komplement: CPB-induziertes SIRS mit Mikrothromben, Kapillarleck,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Vasoregulationsstörung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.  </w:t>
      </w:r>
    </w:p>
    <w:p w14:paraId="79795784" w14:textId="77777777" w:rsidR="005B6807" w:rsidRPr="008240E1" w:rsidRDefault="005B6807" w:rsidP="00F3078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Pigment-Nephropathie &amp; oxidativer Stress: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pfHb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/Eisen bilden toxische Kasten (mit Tamm-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Horsfall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-Protein), verbrauchen NO und treiben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Lipidperoxidation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. Paracetamol kann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ferryl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-Häm-getriebene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Lipidperoxidation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 hemmen; mehrere Kinder-Kohorten zeigen eine Assoziation mit geringerem AKI-Risiko (präventiver Effekt wird untersucht).  </w:t>
      </w:r>
    </w:p>
    <w:p w14:paraId="3F1F4E1A" w14:textId="77777777" w:rsidR="005B6807" w:rsidRPr="008240E1" w:rsidRDefault="005B6807" w:rsidP="00F3078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Transfusions-assoziierte Effekte/Immunmodulation und Chlorid-reiche Lösungen können zusätzlich belasten;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Balanced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Crystalloids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 werden bevorzugt.  </w:t>
      </w:r>
    </w:p>
    <w:p w14:paraId="2F040B8C" w14:textId="77777777" w:rsidR="005B6807" w:rsidRPr="008240E1" w:rsidRDefault="004320EB" w:rsidP="005B6807">
      <w:pPr>
        <w:spacing w:after="0" w:line="240" w:lineRule="auto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4320EB">
        <w:rPr>
          <w:rFonts w:ascii="Calibri Light" w:eastAsia="Times New Roman" w:hAnsi="Calibri Light" w:cs="Calibri Light"/>
          <w:noProof/>
          <w:kern w:val="0"/>
          <w:sz w:val="22"/>
          <w:szCs w:val="22"/>
          <w:lang w:eastAsia="de-DE"/>
        </w:rPr>
        <w:pict w14:anchorId="5E2E6048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493BB401" w14:textId="77777777" w:rsidR="005B6807" w:rsidRPr="008240E1" w:rsidRDefault="005B6807" w:rsidP="005B6807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Kernquellen (Auswahl)</w:t>
      </w:r>
    </w:p>
    <w:p w14:paraId="12756268" w14:textId="77777777" w:rsidR="005B6807" w:rsidRPr="008240E1" w:rsidRDefault="005B6807" w:rsidP="005B6807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</w:p>
    <w:p w14:paraId="3C4CF3AB" w14:textId="77777777" w:rsidR="005B6807" w:rsidRPr="008240E1" w:rsidRDefault="005B6807" w:rsidP="00F3078E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Meta-Analyse pädiatrisch (Risikofaktoren): Van den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Eynde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 et al.,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Pediatr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Nephrol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 2022.  </w:t>
      </w:r>
    </w:p>
    <w:p w14:paraId="6F2CB053" w14:textId="77777777" w:rsidR="005B6807" w:rsidRPr="008240E1" w:rsidRDefault="005B6807" w:rsidP="00F3078E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DO₂i-Schwellen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 für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Neonaten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/Säuglinge auf CPB: Dreher et al., JECT 2023.  </w:t>
      </w:r>
    </w:p>
    <w:p w14:paraId="20754BC0" w14:textId="77777777" w:rsidR="005B6807" w:rsidRPr="008240E1" w:rsidRDefault="005B6807" w:rsidP="00F3078E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CPB-Hämolyse ↔ AKI &amp; Mechanismen: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Mamikonian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 et al.,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Pediatr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Crit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 Care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Med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 2014; Ricci (Übersicht) 2018; aktuelle Studien 2024.  </w:t>
      </w:r>
    </w:p>
    <w:p w14:paraId="4EE7D84B" w14:textId="77777777" w:rsidR="005B6807" w:rsidRPr="008240E1" w:rsidRDefault="005B6807" w:rsidP="00F3078E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val="en-US" w:eastAsia="de-DE"/>
          <w14:ligatures w14:val="none"/>
        </w:rPr>
      </w:pPr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val="en-US" w:eastAsia="de-DE"/>
          <w14:ligatures w14:val="none"/>
        </w:rPr>
        <w:t xml:space="preserve">Transfusion/UF-Volumen ↔ AKI: Park et al., PLoS One 2016; Zanaboni et al., Pediatr Nephrol 2021.  </w:t>
      </w:r>
    </w:p>
    <w:p w14:paraId="2F61A364" w14:textId="77777777" w:rsidR="005B6807" w:rsidRPr="008240E1" w:rsidRDefault="005B6807" w:rsidP="00F3078E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val="en-US" w:eastAsia="de-DE"/>
          <w14:ligatures w14:val="none"/>
        </w:rPr>
      </w:pPr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val="en-US" w:eastAsia="de-DE"/>
          <w14:ligatures w14:val="none"/>
        </w:rPr>
        <w:t xml:space="preserve">PICU-Treiber (LCOS, Fluid Overload) &amp; Management-Implikationen: Carlisle et al., Curr Treat Options Peds 2019; Kwiatkowski &amp; Krawczeski, Pediatr Nephrol 2017.  </w:t>
      </w:r>
    </w:p>
    <w:p w14:paraId="7C053B83" w14:textId="36FF0FB5" w:rsidR="005B6807" w:rsidRPr="008240E1" w:rsidRDefault="005B6807" w:rsidP="00F3078E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Aktuelle Übersichten/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Guidance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 zu CSA-AKI (Pathophysiologie, Prävention, KDIGO-Bundle):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Scurt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 et al., Kidney360 2024; Brown et al., Ann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Thorac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Surg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 2023.  </w:t>
      </w:r>
    </w:p>
    <w:p w14:paraId="6FC91DFA" w14:textId="77777777" w:rsidR="005B6807" w:rsidRPr="008240E1" w:rsidRDefault="005B6807" w:rsidP="005B680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Merksatz</w:t>
      </w:r>
    </w:p>
    <w:p w14:paraId="118FF6BC" w14:textId="77777777" w:rsidR="005B6807" w:rsidRPr="008240E1" w:rsidRDefault="005B6807" w:rsidP="005B6807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</w:p>
    <w:p w14:paraId="5AF947F6" w14:textId="77777777" w:rsidR="005B6807" w:rsidRPr="008240E1" w:rsidRDefault="005B6807" w:rsidP="00F3078E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Bei Kindern nach HLM entsteht AKI primär durch das Zusammenspiel aus (1) zu wenig O₂-Lieferung/Perfusion, (2) CPB-induziertem Entzündungs-/Komplement-Sturm, (3) Hämolyse-getriebener Pigment- und Eisen-Toxizität und (4) zusätzlichen ICU-Expositionen (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Nephrotoxine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, Fluid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Overload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, Sepsis). Das Risiko steigt mit Alter ↓, Gewicht ↓,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Vitien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-Komplexität ↑, CPB-/Klemmzeit ↑, </w:t>
      </w:r>
      <w:proofErr w:type="spellStart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DO₂i</w:t>
      </w:r>
      <w:proofErr w:type="spellEnd"/>
      <w:r w:rsidRPr="008240E1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 ↓, Transfusions-/UF-Last ↑ und LCOS.  </w:t>
      </w:r>
    </w:p>
    <w:p w14:paraId="284A9504" w14:textId="77777777" w:rsidR="005B6807" w:rsidRPr="005B6807" w:rsidRDefault="005B6807" w:rsidP="00F307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5C1003D1" w14:textId="77777777" w:rsidR="005B6807" w:rsidRDefault="005B6807"/>
    <w:sectPr w:rsidR="005B68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659C"/>
    <w:multiLevelType w:val="multilevel"/>
    <w:tmpl w:val="D0B0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32F8A"/>
    <w:multiLevelType w:val="multilevel"/>
    <w:tmpl w:val="2042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85765"/>
    <w:multiLevelType w:val="multilevel"/>
    <w:tmpl w:val="F4DC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74FA0"/>
    <w:multiLevelType w:val="multilevel"/>
    <w:tmpl w:val="F7D0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327299">
    <w:abstractNumId w:val="0"/>
  </w:num>
  <w:num w:numId="2" w16cid:durableId="667638759">
    <w:abstractNumId w:val="2"/>
  </w:num>
  <w:num w:numId="3" w16cid:durableId="1198006824">
    <w:abstractNumId w:val="3"/>
  </w:num>
  <w:num w:numId="4" w16cid:durableId="640699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07"/>
    <w:rsid w:val="004320EB"/>
    <w:rsid w:val="005B6807"/>
    <w:rsid w:val="007E2F89"/>
    <w:rsid w:val="007F3EFC"/>
    <w:rsid w:val="008240E1"/>
    <w:rsid w:val="00F3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0A65C"/>
  <w15:chartTrackingRefBased/>
  <w15:docId w15:val="{1B0516F1-2556-1F41-9EF6-26313796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6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6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B6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B6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B6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B6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B6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B6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B6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6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B6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B6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B680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B680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B680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B680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B680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B680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B6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6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B6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6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B6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B680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B680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B680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B6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B680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B680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5B6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s1">
    <w:name w:val="s1"/>
    <w:basedOn w:val="Absatz-Standardschriftart"/>
    <w:rsid w:val="005B6807"/>
  </w:style>
  <w:style w:type="paragraph" w:customStyle="1" w:styleId="p2">
    <w:name w:val="p2"/>
    <w:basedOn w:val="Standard"/>
    <w:rsid w:val="005B6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s2">
    <w:name w:val="s2"/>
    <w:basedOn w:val="Absatz-Standardschriftart"/>
    <w:rsid w:val="005B6807"/>
  </w:style>
  <w:style w:type="character" w:customStyle="1" w:styleId="apple-converted-space">
    <w:name w:val="apple-converted-space"/>
    <w:basedOn w:val="Absatz-Standardschriftart"/>
    <w:rsid w:val="005B6807"/>
  </w:style>
  <w:style w:type="character" w:customStyle="1" w:styleId="s3">
    <w:name w:val="s3"/>
    <w:basedOn w:val="Absatz-Standardschriftart"/>
    <w:rsid w:val="005B6807"/>
  </w:style>
  <w:style w:type="character" w:customStyle="1" w:styleId="s5">
    <w:name w:val="s5"/>
    <w:basedOn w:val="Absatz-Standardschriftart"/>
    <w:rsid w:val="005B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670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Ali-Sadeh</dc:creator>
  <cp:keywords/>
  <dc:description/>
  <cp:lastModifiedBy>Fatemeh Ali-Sadeh</cp:lastModifiedBy>
  <cp:revision>3</cp:revision>
  <dcterms:created xsi:type="dcterms:W3CDTF">2025-08-13T07:39:00Z</dcterms:created>
  <dcterms:modified xsi:type="dcterms:W3CDTF">2025-08-17T19:07:00Z</dcterms:modified>
</cp:coreProperties>
</file>