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Table 1 (OP-Level): Basiskohorte mit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3402"/>
          </w:tcPr>
          <w:p>
            <w:pPr>
              <w:jc w:val="left"/>
            </w:pPr>
            <w:r>
              <w:t>Variable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AKI-Index-OP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Keine AKI-Index-OP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Test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Effekt (95%-KI)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p-Wert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Dauer (Stunden)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4.62 [3.63; 5.70] (n=528)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4.20 [3.03; 5.65] (n=681)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nan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nan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nan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Geschlecht: f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226 (42.8%)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302 (44.3%)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Fisher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OR 0.94 [0.75; 1.18]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0,599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Geschlecht: m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302 (57.2%)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379 (55.7%)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Fisher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OR 0.94 [0.75; 1.18]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0,599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Re-OP (ja=1, nein=0): 0.0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501 (94.9%)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566 (83.1%)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Fisher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OR 3.77 [2.44; 5.83]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Re-OP (ja=1, nein=0): 1.0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27 (5.1%)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115 (16.9%)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Fisher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OR 3.77 [2.44; 5.83]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OP-Dauer (Tertile): 1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143 (27.1%)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260 (38.2%)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Chi²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Cramérs V 0.12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OP-Dauer (Tertile): 2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201 (38.1%)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209 (30.7%)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Chi²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Cramérs V 0.12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OP-Dauer (Tertile): 3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184 (34.8%)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212 (31.1%)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Chi²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Cramérs V 0.12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