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bidi/>
        <w:spacing w:after="120" w:before="360"/>
        <w:jc w:val="center"/>
      </w:pPr>
      <w:r>
        <w:rPr>
          <w:rFonts w:ascii="Simplified Arabic" w:cs="Simplified Arabic" w:hAnsi="Simplified Arabic"/>
          <w:b/>
          <w:bCs/>
          <w:color w:val="1F3864"/>
          <w:sz w:val="36"/>
          <w:szCs w:val="36"/>
          <w:rtl/>
        </w:rPr>
        <w:t xml:space="preserve">التحضير للقاء الأستاذ الدكتور المشرف</w:t>
      </w:r>
    </w:p>
    <w:p>
      <w:pPr>
        <w:bidi/>
        <w:spacing w:after="120" w:line="360"/>
        <w:jc w:val="center"/>
      </w:pPr>
      <w:r>
        <w:rPr>
          <w:rFonts w:ascii="Simplified Arabic" w:cs="Simplified Arabic" w:hAnsi="Simplified Arabic"/>
          <w:sz w:val="28"/>
          <w:szCs w:val="28"/>
          <w:rtl/>
        </w:rPr>
        <w:t xml:space="preserve">ورقة داخلية للباحث — لا تُسلَّم مع الخطة</w:t>
      </w:r>
    </w:p>
    <w:p>
      <w:pPr>
        <w:pStyle w:val="Heading2"/>
        <w:keepNext/>
        <w:bidi/>
        <w:spacing w:after="120" w:before="360"/>
        <w:jc w:val="center"/>
      </w:pPr>
      <w:r>
        <w:rPr>
          <w:rFonts w:ascii="Simplified Arabic" w:cs="Simplified Arabic" w:hAnsi="Simplified Arabic"/>
          <w:b/>
          <w:bCs/>
          <w:color w:val="1F3864"/>
          <w:sz w:val="32"/>
          <w:szCs w:val="32"/>
          <w:rtl/>
        </w:rPr>
        <w:t xml:space="preserve">أولًا: قبل اللقاء (مهام عاجلة)</w:t>
      </w:r>
    </w:p>
    <w:p>
      <w:pPr>
        <w:bidi/>
        <w:spacing w:after="60" w:line="340"/>
        <w:ind w:start="360" w:hanging="360"/>
        <w:jc w:val="both"/>
      </w:pPr>
      <w:r>
        <w:rPr>
          <w:rFonts w:ascii="Simplified Arabic" w:cs="Simplified Arabic" w:hAnsi="Simplified Arabic"/>
          <w:sz w:val="28"/>
          <w:szCs w:val="28"/>
          <w:rtl/>
        </w:rPr>
        <w:t xml:space="preserve">1. </w:t>
      </w:r>
      <w:r>
        <w:rPr>
          <w:rFonts w:ascii="Simplified Arabic" w:cs="Simplified Arabic" w:hAnsi="Simplified Arabic"/>
          <w:b/>
          <w:bCs/>
          <w:sz w:val="28"/>
          <w:szCs w:val="28"/>
          <w:rtl/>
        </w:rPr>
        <w:t xml:space="preserve">اسم القسم:</w:t>
      </w:r>
      <w:r>
        <w:rPr>
          <w:rFonts w:ascii="Simplified Arabic" w:cs="Simplified Arabic" w:hAnsi="Simplified Arabic"/>
          <w:sz w:val="28"/>
          <w:szCs w:val="28"/>
          <w:rtl/>
        </w:rPr>
        <w:t xml:space="preserve"> الإعلانات الرسمية لكلية الحقوق بجامعة القاهرة تسميه «قسم المالية العامة»، ومكتبة الكلية تصنفه «المالية العامة والتشريع الضريبي». وقد كُتب في الخطة «قسم المالية العامة». فإن كان المعتمد عندكم «قسم الاقتصاد والمالية العامة» فعدّله في صفحة الغلاف.</w:t>
      </w:r>
    </w:p>
    <w:p>
      <w:pPr>
        <w:bidi/>
        <w:spacing w:after="60" w:line="340"/>
        <w:ind w:start="360" w:hanging="360"/>
        <w:jc w:val="both"/>
      </w:pPr>
      <w:r>
        <w:rPr>
          <w:rFonts w:ascii="Simplified Arabic" w:cs="Simplified Arabic" w:hAnsi="Simplified Arabic"/>
          <w:sz w:val="28"/>
          <w:szCs w:val="28"/>
          <w:rtl/>
        </w:rPr>
        <w:t xml:space="preserve">2. </w:t>
      </w:r>
      <w:r>
        <w:rPr>
          <w:rFonts w:ascii="Simplified Arabic" w:cs="Simplified Arabic" w:hAnsi="Simplified Arabic"/>
          <w:b/>
          <w:bCs/>
          <w:sz w:val="28"/>
          <w:szCs w:val="28"/>
          <w:rtl/>
        </w:rPr>
        <w:t xml:space="preserve">اسم المشرف وصفته:</w:t>
      </w:r>
      <w:r>
        <w:rPr>
          <w:rFonts w:ascii="Simplified Arabic" w:cs="Simplified Arabic" w:hAnsi="Simplified Arabic"/>
          <w:sz w:val="28"/>
          <w:szCs w:val="28"/>
          <w:rtl/>
        </w:rPr>
        <w:t xml:space="preserve"> في فهرس المكتبة وإعلانات المناقشة يرد الاسم «سيد طه بدوي». وفي الخطة «السيد طه بدوي — أستاذ المالية العامة ورئيس القسم». تأكد من الصيغة التي يفضلها.</w:t>
      </w:r>
    </w:p>
    <w:p>
      <w:pPr>
        <w:bidi/>
        <w:spacing w:after="60" w:line="340"/>
        <w:ind w:start="360" w:hanging="360"/>
        <w:jc w:val="both"/>
      </w:pPr>
      <w:r>
        <w:rPr>
          <w:rFonts w:ascii="Simplified Arabic" w:cs="Simplified Arabic" w:hAnsi="Simplified Arabic"/>
          <w:sz w:val="28"/>
          <w:szCs w:val="28"/>
          <w:rtl/>
        </w:rPr>
        <w:t xml:space="preserve">3. </w:t>
      </w:r>
      <w:r>
        <w:rPr>
          <w:rFonts w:ascii="Simplified Arabic" w:cs="Simplified Arabic" w:hAnsi="Simplified Arabic"/>
          <w:b/>
          <w:bCs/>
          <w:sz w:val="28"/>
          <w:szCs w:val="28"/>
          <w:rtl/>
        </w:rPr>
        <w:t xml:space="preserve">اكتب اسمك</w:t>
      </w:r>
      <w:r>
        <w:rPr>
          <w:rFonts w:ascii="Simplified Arabic" w:cs="Simplified Arabic" w:hAnsi="Simplified Arabic"/>
          <w:sz w:val="28"/>
          <w:szCs w:val="28"/>
          <w:rtl/>
        </w:rPr>
        <w:t xml:space="preserve"> في صفحة الغلاف.</w:t>
      </w:r>
    </w:p>
    <w:p>
      <w:pPr>
        <w:bidi/>
        <w:spacing w:after="60" w:line="340"/>
        <w:ind w:start="360" w:hanging="360"/>
        <w:jc w:val="both"/>
      </w:pPr>
      <w:r>
        <w:rPr>
          <w:rFonts w:ascii="Simplified Arabic" w:cs="Simplified Arabic" w:hAnsi="Simplified Arabic"/>
          <w:sz w:val="28"/>
          <w:szCs w:val="28"/>
          <w:rtl/>
        </w:rPr>
        <w:t xml:space="preserve">4. </w:t>
      </w:r>
      <w:r>
        <w:rPr>
          <w:rFonts w:ascii="Simplified Arabic" w:cs="Simplified Arabic" w:hAnsi="Simplified Arabic"/>
          <w:b/>
          <w:bCs/>
          <w:sz w:val="28"/>
          <w:szCs w:val="28"/>
          <w:rtl/>
        </w:rPr>
        <w:t xml:space="preserve">اللائحة السارية عليك:</w:t>
      </w:r>
      <w:r>
        <w:rPr>
          <w:rFonts w:ascii="Simplified Arabic" w:cs="Simplified Arabic" w:hAnsi="Simplified Arabic"/>
          <w:sz w:val="28"/>
          <w:szCs w:val="28"/>
          <w:rtl/>
        </w:rPr>
        <w:t xml:space="preserve"> هل هي اللائحة القديمة، أم لائحة الساعات المعتمدة الصادرة بالقرار الوزاري رقم 1346 بتاريخ 23/7/2024؟ وما شروط التسجيل التي تنطبق عليك (الدبلومان أو الماجستير، وشهادة اللغة، والمقررات)؟</w:t>
      </w:r>
    </w:p>
    <w:p>
      <w:pPr>
        <w:bidi/>
        <w:spacing w:after="60" w:line="340"/>
        <w:ind w:start="360" w:hanging="360"/>
        <w:jc w:val="both"/>
      </w:pPr>
      <w:r>
        <w:rPr>
          <w:rFonts w:ascii="Simplified Arabic" w:cs="Simplified Arabic" w:hAnsi="Simplified Arabic"/>
          <w:sz w:val="28"/>
          <w:szCs w:val="28"/>
          <w:rtl/>
        </w:rPr>
        <w:t xml:space="preserve">5. </w:t>
      </w:r>
      <w:r>
        <w:rPr>
          <w:rFonts w:ascii="Simplified Arabic" w:cs="Simplified Arabic" w:hAnsi="Simplified Arabic"/>
          <w:b/>
          <w:bCs/>
          <w:sz w:val="28"/>
          <w:szCs w:val="28"/>
          <w:rtl/>
        </w:rPr>
        <w:t xml:space="preserve">الإفادة عن العنوان:</w:t>
      </w:r>
      <w:r>
        <w:rPr>
          <w:rFonts w:ascii="Simplified Arabic" w:cs="Simplified Arabic" w:hAnsi="Simplified Arabic"/>
          <w:sz w:val="28"/>
          <w:szCs w:val="28"/>
          <w:rtl/>
        </w:rPr>
        <w:t xml:space="preserve"> اطلب من مركز المعلومات والتوثيق بالجامعة إفادة بعدم تسجيل العنوان من قبل.</w:t>
      </w:r>
    </w:p>
    <w:p>
      <w:pPr>
        <w:bidi/>
        <w:spacing w:after="60" w:line="340"/>
        <w:ind w:start="360" w:hanging="360"/>
        <w:jc w:val="both"/>
      </w:pPr>
      <w:r>
        <w:rPr>
          <w:rFonts w:ascii="Simplified Arabic" w:cs="Simplified Arabic" w:hAnsi="Simplified Arabic"/>
          <w:sz w:val="28"/>
          <w:szCs w:val="28"/>
          <w:rtl/>
        </w:rPr>
        <w:t xml:space="preserve">6. </w:t>
      </w:r>
      <w:r>
        <w:rPr>
          <w:rFonts w:ascii="Simplified Arabic" w:cs="Simplified Arabic" w:hAnsi="Simplified Arabic"/>
          <w:b/>
          <w:bCs/>
          <w:sz w:val="28"/>
          <w:szCs w:val="28"/>
          <w:rtl/>
        </w:rPr>
        <w:t xml:space="preserve">سند الاختصاص الجنائي للمحاكم الاقتصادية:</w:t>
      </w:r>
      <w:r>
        <w:rPr>
          <w:rFonts w:ascii="Simplified Arabic" w:cs="Simplified Arabic" w:hAnsi="Simplified Arabic"/>
          <w:sz w:val="28"/>
          <w:szCs w:val="28"/>
          <w:rtl/>
        </w:rPr>
        <w:t xml:space="preserve"> قبل أن تثير هذه المسألة شفهيًا، راجع مواد إصدار القانون رقم 194 لسنة 2020. فإن وجدت فيها نصًا يجعل الإحالة إلى القانون الملغى إحالةً إلى القانون الجديد، فاحذف هذه الإشكالية من الخطة. ويخصها البند (1) من الأهمية العملية والمطلب الأول من المبحث الأول في الفصل الأول من الباب الثاني.</w:t>
      </w:r>
    </w:p>
    <w:p>
      <w:pPr>
        <w:bidi/>
        <w:spacing w:after="60" w:line="340"/>
        <w:ind w:start="360" w:hanging="360"/>
        <w:jc w:val="both"/>
      </w:pPr>
      <w:r>
        <w:rPr>
          <w:rFonts w:ascii="Simplified Arabic" w:cs="Simplified Arabic" w:hAnsi="Simplified Arabic"/>
          <w:sz w:val="28"/>
          <w:szCs w:val="28"/>
          <w:rtl/>
        </w:rPr>
        <w:t xml:space="preserve">7. </w:t>
      </w:r>
      <w:r>
        <w:rPr>
          <w:rFonts w:ascii="Simplified Arabic" w:cs="Simplified Arabic" w:hAnsi="Simplified Arabic"/>
          <w:b/>
          <w:bCs/>
          <w:sz w:val="28"/>
          <w:szCs w:val="28"/>
          <w:rtl/>
        </w:rPr>
        <w:t xml:space="preserve">اطبع نسختين</w:t>
      </w:r>
      <w:r>
        <w:rPr>
          <w:rFonts w:ascii="Simplified Arabic" w:cs="Simplified Arabic" w:hAnsi="Simplified Arabic"/>
          <w:sz w:val="28"/>
          <w:szCs w:val="28"/>
          <w:rtl/>
        </w:rPr>
        <w:t xml:space="preserve"> من ملف الوورد، واحمل معك قائمة «المراجع التي يلزم التحقق منها» لتبيّن أنك تعرف حدود ما تحققت منه.</w:t>
      </w:r>
    </w:p>
    <w:p>
      <w:pPr>
        <w:pStyle w:val="Heading2"/>
        <w:keepNext/>
        <w:bidi/>
        <w:spacing w:after="120" w:before="360"/>
        <w:jc w:val="center"/>
      </w:pPr>
      <w:r>
        <w:rPr>
          <w:rFonts w:ascii="Simplified Arabic" w:cs="Simplified Arabic" w:hAnsi="Simplified Arabic"/>
          <w:b/>
          <w:bCs/>
          <w:color w:val="1F3864"/>
          <w:sz w:val="32"/>
          <w:szCs w:val="32"/>
          <w:rtl/>
        </w:rPr>
        <w:t xml:space="preserve">ثانيًا: الأسئلة المتوقعة وإجابات مقترحة مختصرة</w:t>
      </w:r>
    </w:p>
    <w:p>
      <w:pPr>
        <w:pStyle w:val="Heading3"/>
        <w:keepNext/>
        <w:bidi/>
        <w:spacing w:after="120" w:before="240"/>
        <w:jc w:val="right"/>
      </w:pPr>
      <w:r>
        <w:rPr>
          <w:rFonts w:ascii="Simplified Arabic" w:cs="Simplified Arabic" w:hAnsi="Simplified Arabic"/>
          <w:b/>
          <w:bCs/>
          <w:color w:val="2E5597"/>
          <w:sz w:val="30"/>
          <w:szCs w:val="30"/>
          <w:rtl/>
        </w:rPr>
        <w:t xml:space="preserve">1. لماذا تُسجَّل الرسالة في قسم المالية العامة، لا في القانون التجاري أو الجنائي؟</w:t>
      </w:r>
    </w:p>
    <w:p>
      <w:pPr>
        <w:bidi/>
        <w:spacing w:after="120" w:line="360"/>
        <w:jc w:val="both"/>
      </w:pPr>
      <w:r>
        <w:rPr>
          <w:rFonts w:ascii="Simplified Arabic" w:cs="Simplified Arabic" w:hAnsi="Simplified Arabic"/>
          <w:sz w:val="28"/>
          <w:szCs w:val="28"/>
          <w:rtl/>
        </w:rPr>
        <w:t xml:space="preserve">لأن مركز ثقلها نقدي ومالي عام:</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انفراد الدولة بإصدار النقد:</w:t>
      </w:r>
      <w:r>
        <w:rPr>
          <w:rFonts w:ascii="Simplified Arabic" w:cs="Simplified Arabic" w:hAnsi="Simplified Arabic"/>
          <w:sz w:val="28"/>
          <w:szCs w:val="28"/>
          <w:rtl/>
        </w:rPr>
        <w:t xml:space="preserve"> المادة (220) من الدستور المصري، والمواد (57–60) من القانون رقم 194 لسنة 2020.</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عائد الإصدار</w:t>
      </w:r>
      <w:r>
        <w:rPr>
          <w:rFonts w:ascii="Simplified Arabic" w:cs="Simplified Arabic" w:hAnsi="Simplified Arabic"/>
          <w:sz w:val="28"/>
          <w:szCs w:val="28"/>
          <w:rtl/>
        </w:rPr>
        <w:t xml:space="preserve"> وأثره في أرباح البنك المركزي المحولة إلى الخزانة.</w:t>
      </w:r>
    </w:p>
    <w:p>
      <w:pPr>
        <w:pStyle w:val="ListParagraph"/>
        <w:numPr>
          <w:ilvl w:val="0"/>
          <w:numId w:val="2"/>
        </w:numPr>
        <w:bidi/>
        <w:spacing w:after="60" w:line="340"/>
        <w:jc w:val="both"/>
      </w:pPr>
      <w:r>
        <w:rPr>
          <w:rFonts w:ascii="Simplified Arabic" w:cs="Simplified Arabic" w:hAnsi="Simplified Arabic"/>
          <w:b/>
          <w:bCs/>
          <w:sz w:val="28"/>
          <w:szCs w:val="28"/>
          <w:rtl/>
        </w:rPr>
        <w:t xml:space="preserve">نظام الصرف</w:t>
      </w:r>
      <w:r>
        <w:rPr>
          <w:rFonts w:ascii="Simplified Arabic" w:cs="Simplified Arabic" w:hAnsi="Simplified Arabic"/>
          <w:sz w:val="28"/>
          <w:szCs w:val="28"/>
          <w:rtl/>
        </w:rPr>
        <w:t xml:space="preserve"> والرقابة على النقد الأجنبي.</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المعاملة الضريبية</w:t>
      </w:r>
      <w:r>
        <w:rPr>
          <w:rFonts w:ascii="Simplified Arabic" w:cs="Simplified Arabic" w:hAnsi="Simplified Arabic"/>
          <w:sz w:val="28"/>
          <w:szCs w:val="28"/>
          <w:rtl/>
        </w:rPr>
        <w:t xml:space="preserve"> للدخول المتحققة من العملات الرقمية.</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العملة الرقمية للبنك المركزي</w:t>
      </w:r>
      <w:r>
        <w:rPr>
          <w:rFonts w:ascii="Simplified Arabic" w:cs="Simplified Arabic" w:hAnsi="Simplified Arabic"/>
          <w:sz w:val="28"/>
          <w:szCs w:val="28"/>
          <w:rtl/>
        </w:rPr>
        <w:t xml:space="preserve"> بديلًا سياديًا.</w:t>
      </w:r>
    </w:p>
    <w:p>
      <w:pPr>
        <w:bidi/>
        <w:spacing w:after="120" w:line="360"/>
        <w:jc w:val="both"/>
      </w:pPr>
      <w:r>
        <w:rPr>
          <w:rFonts w:ascii="Simplified Arabic" w:cs="Simplified Arabic" w:hAnsi="Simplified Arabic"/>
          <w:sz w:val="28"/>
          <w:szCs w:val="28"/>
          <w:rtl/>
        </w:rPr>
        <w:t xml:space="preserve">وهذا هو الباب الأول بفصوله الثلاثة. وحتى الباب القضائي يتصل بالمالية العامة في ثلاثة مواضع: الرقابة على قرارات السلطات النقدية والضريبية، وقيد الطلب الكتابي من المحافظ على تحريك الدعوى الجنائية، والمصادرة ورد الأموال.</w:t>
      </w:r>
    </w:p>
    <w:p>
      <w:pPr>
        <w:pStyle w:val="Heading3"/>
        <w:keepNext/>
        <w:bidi/>
        <w:spacing w:after="120" w:before="240"/>
        <w:jc w:val="right"/>
      </w:pPr>
      <w:r>
        <w:rPr>
          <w:rFonts w:ascii="Simplified Arabic" w:cs="Simplified Arabic" w:hAnsi="Simplified Arabic"/>
          <w:b/>
          <w:bCs/>
          <w:color w:val="2E5597"/>
          <w:sz w:val="30"/>
          <w:szCs w:val="30"/>
          <w:rtl/>
        </w:rPr>
        <w:t xml:space="preserve">2. ما المقصود بـ«التنظيم القضائي»؟ وكيف تبني بابًا عليه مع ندرة الأحكام العربية؟</w:t>
      </w:r>
    </w:p>
    <w:p>
      <w:pPr>
        <w:bidi/>
        <w:spacing w:after="120" w:line="360"/>
        <w:jc w:val="both"/>
      </w:pPr>
      <w:r>
        <w:rPr>
          <w:rFonts w:ascii="Simplified Arabic" w:cs="Simplified Arabic" w:hAnsi="Simplified Arabic"/>
          <w:sz w:val="28"/>
          <w:szCs w:val="28"/>
          <w:rtl/>
        </w:rPr>
        <w:t xml:space="preserve">المقصود به أربعة أمور: جهات الفصل واختصاصها، والرقابة القضائية على أدوات التنظيم، والحماية الإجرائية (الوقتية والإثبات والتنفيذ)، والمسؤولية في التطبيق. والقضاء المقارن في هذا الباب مصدر للحلول، لا محور للدراسة. أما ندرة الأحكام المصرية والقطرية المنشورة فهي نفسها نتيجة من نتائج البحث. وسيسعى الباحث إلى الحصول على صور رسمية من الأحكام.</w:t>
      </w:r>
    </w:p>
    <w:p>
      <w:pPr>
        <w:pStyle w:val="Heading3"/>
        <w:keepNext/>
        <w:bidi/>
        <w:spacing w:after="120" w:before="240"/>
        <w:jc w:val="right"/>
      </w:pPr>
      <w:r>
        <w:rPr>
          <w:rFonts w:ascii="Simplified Arabic" w:cs="Simplified Arabic" w:hAnsi="Simplified Arabic"/>
          <w:b/>
          <w:bCs/>
          <w:color w:val="2E5597"/>
          <w:sz w:val="30"/>
          <w:szCs w:val="30"/>
          <w:rtl/>
        </w:rPr>
        <w:t xml:space="preserve">3. أحكام المحكمة الاقتصادية: على أي نص قامت الإدانة؟</w:t>
      </w:r>
    </w:p>
    <w:p>
      <w:pPr>
        <w:bidi/>
        <w:spacing w:after="120" w:line="360"/>
        <w:jc w:val="both"/>
      </w:pPr>
      <w:r>
        <w:rPr>
          <w:rFonts w:ascii="Simplified Arabic" w:cs="Simplified Arabic" w:hAnsi="Simplified Arabic"/>
          <w:sz w:val="28"/>
          <w:szCs w:val="28"/>
          <w:rtl/>
        </w:rPr>
        <w:t xml:space="preserve">لم يطلع الباحث بعد إلا على التغطية الصحفية لهذه الأحكام. والعقوبات المقضي بها لا تتسق مع نطاق المادة (225): السجن عشر سنوات في حكم 2023، والغرامة مئة ألف جنيه في حكم 2025. وهذا يرجح أن الإدانة قامت، كليًا أو جزئيًا، على نصوص أخرى. لذلك فإن الحصول على الصور الرسمية للأحكام وأسبابها من أولى مهام المرحلة الأولى في الجدول الزمني.</w:t>
      </w:r>
    </w:p>
    <w:p>
      <w:pPr>
        <w:pStyle w:val="Heading3"/>
        <w:keepNext/>
        <w:bidi/>
        <w:spacing w:after="120" w:before="240"/>
        <w:jc w:val="right"/>
      </w:pPr>
      <w:r>
        <w:rPr>
          <w:rFonts w:ascii="Simplified Arabic" w:cs="Simplified Arabic" w:hAnsi="Simplified Arabic"/>
          <w:b/>
          <w:bCs/>
          <w:color w:val="2E5597"/>
          <w:sz w:val="30"/>
          <w:szCs w:val="30"/>
          <w:rtl/>
        </w:rPr>
        <w:t xml:space="preserve">4. لماذا «العملات الرقمية» لا «العملات المشفرة» كما سماها المشرع المصري؟</w:t>
      </w:r>
    </w:p>
    <w:p>
      <w:pPr>
        <w:bidi/>
        <w:spacing w:after="120" w:line="360"/>
        <w:jc w:val="both"/>
      </w:pPr>
      <w:r>
        <w:rPr>
          <w:rFonts w:ascii="Simplified Arabic" w:cs="Simplified Arabic" w:hAnsi="Simplified Arabic"/>
          <w:sz w:val="28"/>
          <w:szCs w:val="28"/>
          <w:rtl/>
        </w:rPr>
        <w:t xml:space="preserve">لأنه لفظ جامع يتسع لمستويين: العملات الخاصة (المشفرة والمستقرة) وهي محل الدراسة، والعملة الرقمية للبنك المركزي التي تُدرس بديلًا سياديًا. وقد ضُبط ذلك في جدول المصطلحات.</w:t>
      </w:r>
    </w:p>
    <w:p>
      <w:pPr>
        <w:pStyle w:val="Heading3"/>
        <w:keepNext/>
        <w:bidi/>
        <w:spacing w:after="120" w:before="240"/>
        <w:jc w:val="right"/>
      </w:pPr>
      <w:r>
        <w:rPr>
          <w:rFonts w:ascii="Simplified Arabic" w:cs="Simplified Arabic" w:hAnsi="Simplified Arabic"/>
          <w:b/>
          <w:bCs/>
          <w:color w:val="2E5597"/>
          <w:sz w:val="30"/>
          <w:szCs w:val="30"/>
          <w:rtl/>
        </w:rPr>
        <w:t xml:space="preserve">5. لماذا مصر وقطر؟ وهل المقارنة متكافئة؟</w:t>
      </w:r>
    </w:p>
    <w:p>
      <w:pPr>
        <w:bidi/>
        <w:spacing w:after="120" w:line="360"/>
        <w:jc w:val="both"/>
      </w:pPr>
      <w:r>
        <w:rPr>
          <w:rFonts w:ascii="Simplified Arabic" w:cs="Simplified Arabic" w:hAnsi="Simplified Arabic"/>
          <w:sz w:val="28"/>
          <w:szCs w:val="28"/>
          <w:rtl/>
        </w:rPr>
        <w:t xml:space="preserve">المقارنة هنا بين نموذجين تنظيميين متباينين، لا بين قانونين متماثلين:</w:t>
      </w:r>
    </w:p>
    <w:p>
      <w:pPr>
        <w:pStyle w:val="ListParagraph"/>
        <w:numPr>
          <w:ilvl w:val="0"/>
          <w:numId w:val="2"/>
        </w:numPr>
        <w:bidi/>
        <w:spacing w:after="60" w:line="340"/>
        <w:jc w:val="both"/>
      </w:pPr>
      <w:r>
        <w:rPr>
          <w:rFonts w:ascii="Simplified Arabic" w:cs="Simplified Arabic" w:hAnsi="Simplified Arabic"/>
          <w:b/>
          <w:bCs/>
          <w:sz w:val="28"/>
          <w:szCs w:val="28"/>
          <w:rtl/>
        </w:rPr>
        <w:t xml:space="preserve">في مصر:</w:t>
      </w:r>
      <w:r>
        <w:rPr>
          <w:rFonts w:ascii="Simplified Arabic" w:cs="Simplified Arabic" w:hAnsi="Simplified Arabic"/>
          <w:sz w:val="28"/>
          <w:szCs w:val="28"/>
          <w:rtl/>
        </w:rPr>
        <w:t xml:space="preserve"> حظر معلق على ترخيص لم يصدر، فتحول إلى حظر فعلي.</w:t>
      </w:r>
    </w:p>
    <w:p>
      <w:pPr>
        <w:pStyle w:val="ListParagraph"/>
        <w:numPr>
          <w:ilvl w:val="0"/>
          <w:numId w:val="2"/>
        </w:numPr>
        <w:bidi/>
        <w:spacing w:after="60" w:line="340"/>
        <w:jc w:val="both"/>
      </w:pPr>
      <w:r>
        <w:rPr>
          <w:rFonts w:ascii="Simplified Arabic" w:cs="Simplified Arabic" w:hAnsi="Simplified Arabic"/>
          <w:b/>
          <w:bCs/>
          <w:sz w:val="28"/>
          <w:szCs w:val="28"/>
          <w:rtl/>
        </w:rPr>
        <w:t xml:space="preserve">في قطر:</w:t>
      </w:r>
      <w:r>
        <w:rPr>
          <w:rFonts w:ascii="Simplified Arabic" w:cs="Simplified Arabic" w:hAnsi="Simplified Arabic"/>
          <w:sz w:val="28"/>
          <w:szCs w:val="28"/>
          <w:rtl/>
        </w:rPr>
        <w:t xml:space="preserve"> حظر للعملات بتعاميم إدارية، تقابله إباحة منظمة لترميز الأصول في مركز قطر للمال بلائحة 2024.</w:t>
      </w:r>
    </w:p>
    <w:p>
      <w:pPr>
        <w:bidi/>
        <w:spacing w:after="120" w:line="360"/>
        <w:jc w:val="both"/>
      </w:pPr>
      <w:r>
        <w:rPr>
          <w:rFonts w:ascii="Simplified Arabic" w:cs="Simplified Arabic" w:hAnsi="Simplified Arabic"/>
          <w:sz w:val="28"/>
          <w:szCs w:val="28"/>
          <w:rtl/>
        </w:rPr>
        <w:t xml:space="preserve">والتباين بين النموذجين هو ما يجعل المقارنة خصبة.</w:t>
      </w:r>
    </w:p>
    <w:p>
      <w:pPr>
        <w:pStyle w:val="Heading3"/>
        <w:keepNext/>
        <w:bidi/>
        <w:spacing w:after="120" w:before="240"/>
        <w:jc w:val="right"/>
      </w:pPr>
      <w:r>
        <w:rPr>
          <w:rFonts w:ascii="Simplified Arabic" w:cs="Simplified Arabic" w:hAnsi="Simplified Arabic"/>
          <w:b/>
          <w:bCs/>
          <w:color w:val="2E5597"/>
          <w:sz w:val="30"/>
          <w:szCs w:val="30"/>
          <w:rtl/>
        </w:rPr>
        <w:t xml:space="preserve">6. أليست الأنظمة المقارنة كثيرة؟ وإن طُلب منك الاقتصار على نظام مرجعي واحد؟</w:t>
      </w:r>
    </w:p>
    <w:p>
      <w:pPr>
        <w:bidi/>
        <w:spacing w:after="120" w:line="360"/>
        <w:jc w:val="both"/>
      </w:pPr>
      <w:r>
        <w:rPr>
          <w:rFonts w:ascii="Simplified Arabic" w:cs="Simplified Arabic" w:hAnsi="Simplified Arabic"/>
          <w:sz w:val="28"/>
          <w:szCs w:val="28"/>
          <w:rtl/>
        </w:rPr>
        <w:t xml:space="preserve">محور المقارنة نظامان فقط: مصر وقطر. والأنظمة المرجعية ثلاثة، ولكل منها معيار اختيار نقدي ومالي:</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الإمارات:</w:t>
      </w:r>
      <w:r>
        <w:rPr>
          <w:rFonts w:ascii="Simplified Arabic" w:cs="Simplified Arabic" w:hAnsi="Simplified Arabic"/>
          <w:sz w:val="28"/>
          <w:szCs w:val="28"/>
          <w:rtl/>
        </w:rPr>
        <w:t xml:space="preserve"> النموذج الخليجي للترخيص.</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الاتحاد الأوروبي:</w:t>
      </w:r>
      <w:r>
        <w:rPr>
          <w:rFonts w:ascii="Simplified Arabic" w:cs="Simplified Arabic" w:hAnsi="Simplified Arabic"/>
          <w:sz w:val="28"/>
          <w:szCs w:val="28"/>
          <w:rtl/>
        </w:rPr>
        <w:t xml:space="preserve"> النموذج الشامل (MiCA).</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الولايات المتحدة:</w:t>
      </w:r>
      <w:r>
        <w:rPr>
          <w:rFonts w:ascii="Simplified Arabic" w:cs="Simplified Arabic" w:hAnsi="Simplified Arabic"/>
          <w:sz w:val="28"/>
          <w:szCs w:val="28"/>
          <w:rtl/>
        </w:rPr>
        <w:t xml:space="preserve"> مُصدرة الدولار الذي تُقوَّم به أغلب العملات المستقرة.</w:t>
      </w:r>
    </w:p>
    <w:p>
      <w:pPr>
        <w:bidi/>
        <w:spacing w:after="120" w:line="360"/>
        <w:jc w:val="both"/>
      </w:pPr>
      <w:r>
        <w:rPr>
          <w:rFonts w:ascii="Simplified Arabic" w:cs="Simplified Arabic" w:hAnsi="Simplified Arabic"/>
          <w:sz w:val="28"/>
          <w:szCs w:val="28"/>
          <w:rtl/>
        </w:rPr>
        <w:t xml:space="preserve">وما عداها استئناس في مسائل محددة. وإن طُلب الاقتصار فالأولى </w:t>
      </w:r>
      <w:r>
        <w:rPr>
          <w:rFonts w:ascii="Simplified Arabic" w:cs="Simplified Arabic" w:hAnsi="Simplified Arabic"/>
          <w:b/>
          <w:bCs/>
          <w:sz w:val="28"/>
          <w:szCs w:val="28"/>
          <w:rtl/>
        </w:rPr>
        <w:t xml:space="preserve">الاتحاد الأوروبي</w:t>
      </w:r>
      <w:r>
        <w:rPr>
          <w:rFonts w:ascii="Simplified Arabic" w:cs="Simplified Arabic" w:hAnsi="Simplified Arabic"/>
          <w:sz w:val="28"/>
          <w:szCs w:val="28"/>
          <w:rtl/>
        </w:rPr>
        <w:t xml:space="preserve">، لأنه النموذج التشريعي الشامل الأقرب إلى الصياغة اللاتينية.</w:t>
      </w:r>
    </w:p>
    <w:p>
      <w:pPr>
        <w:pStyle w:val="Heading3"/>
        <w:keepNext/>
        <w:bidi/>
        <w:spacing w:after="120" w:before="240"/>
        <w:jc w:val="right"/>
      </w:pPr>
      <w:r>
        <w:rPr>
          <w:rFonts w:ascii="Simplified Arabic" w:cs="Simplified Arabic" w:hAnsi="Simplified Arabic"/>
          <w:b/>
          <w:bCs/>
          <w:color w:val="2E5597"/>
          <w:sz w:val="30"/>
          <w:szCs w:val="30"/>
          <w:rtl/>
        </w:rPr>
        <w:t xml:space="preserve">7. ما أدواتك الاقتصادية؟ وهل لديك بيانات؟</w:t>
      </w:r>
    </w:p>
    <w:p>
      <w:pPr>
        <w:bidi/>
        <w:spacing w:after="120" w:line="360"/>
        <w:jc w:val="both"/>
      </w:pPr>
      <w:r>
        <w:rPr>
          <w:rFonts w:ascii="Simplified Arabic" w:cs="Simplified Arabic" w:hAnsi="Simplified Arabic"/>
          <w:sz w:val="28"/>
          <w:szCs w:val="28"/>
          <w:rtl/>
        </w:rPr>
        <w:t xml:space="preserve">التحليل نوعي غير قياسي، ويصرح البحث بذلك. ويعتمد على:</w:t>
      </w:r>
    </w:p>
    <w:p>
      <w:pPr>
        <w:pStyle w:val="ListParagraph"/>
        <w:numPr>
          <w:ilvl w:val="0"/>
          <w:numId w:val="2"/>
        </w:numPr>
        <w:bidi/>
        <w:spacing w:after="60" w:line="340"/>
        <w:jc w:val="both"/>
      </w:pPr>
      <w:r>
        <w:rPr>
          <w:rFonts w:ascii="Simplified Arabic" w:cs="Simplified Arabic" w:hAnsi="Simplified Arabic"/>
          <w:sz w:val="28"/>
          <w:szCs w:val="28"/>
          <w:rtl/>
        </w:rPr>
        <w:t xml:space="preserve">وظائف النقود ومعايير بنك التسويات الدولية الثلاثة (الوحدة، والمرونة، والنزاهة).</w:t>
      </w:r>
    </w:p>
    <w:p>
      <w:pPr>
        <w:pStyle w:val="ListParagraph"/>
        <w:numPr>
          <w:ilvl w:val="0"/>
          <w:numId w:val="2"/>
        </w:numPr>
        <w:bidi/>
        <w:spacing w:after="60" w:line="340"/>
        <w:jc w:val="both"/>
      </w:pPr>
      <w:r>
        <w:rPr>
          <w:rFonts w:ascii="Simplified Arabic" w:cs="Simplified Arabic" w:hAnsi="Simplified Arabic"/>
          <w:sz w:val="28"/>
          <w:szCs w:val="28"/>
          <w:rtl/>
        </w:rPr>
        <w:t xml:space="preserve">نظرية إحلال العملة.</w:t>
      </w:r>
    </w:p>
    <w:p>
      <w:pPr>
        <w:pStyle w:val="ListParagraph"/>
        <w:numPr>
          <w:ilvl w:val="0"/>
          <w:numId w:val="2"/>
        </w:numPr>
        <w:bidi/>
        <w:spacing w:after="60" w:line="340"/>
        <w:jc w:val="both"/>
      </w:pPr>
      <w:r>
        <w:rPr>
          <w:rFonts w:ascii="Simplified Arabic" w:cs="Simplified Arabic" w:hAnsi="Simplified Arabic"/>
          <w:sz w:val="28"/>
          <w:szCs w:val="28"/>
          <w:rtl/>
        </w:rPr>
        <w:t xml:space="preserve">عائد الإصدار.</w:t>
      </w:r>
    </w:p>
    <w:p>
      <w:pPr>
        <w:pStyle w:val="ListParagraph"/>
        <w:numPr>
          <w:ilvl w:val="0"/>
          <w:numId w:val="2"/>
        </w:numPr>
        <w:bidi/>
        <w:spacing w:after="60" w:line="340"/>
        <w:jc w:val="both"/>
      </w:pPr>
      <w:r>
        <w:rPr>
          <w:rFonts w:ascii="Simplified Arabic" w:cs="Simplified Arabic" w:hAnsi="Simplified Arabic"/>
          <w:sz w:val="28"/>
          <w:szCs w:val="28"/>
          <w:rtl/>
        </w:rPr>
        <w:t xml:space="preserve">تحليل التكلفة والمنفعة في المفاضلة بين الحظر والترخيص.</w:t>
      </w:r>
    </w:p>
    <w:p>
      <w:pPr>
        <w:bidi/>
        <w:spacing w:after="120" w:line="360"/>
        <w:jc w:val="both"/>
      </w:pPr>
      <w:r>
        <w:rPr>
          <w:rFonts w:ascii="Simplified Arabic" w:cs="Simplified Arabic" w:hAnsi="Simplified Arabic"/>
          <w:sz w:val="28"/>
          <w:szCs w:val="28"/>
          <w:rtl/>
        </w:rPr>
        <w:t xml:space="preserve">ومصادر البيانات: تقارير مشاورات المادة الرابعة لصندوق النقد الدولي، وإحصاءات البنكين المركزيين، مع بيان حدود التقديرات المنشورة.</w:t>
      </w:r>
    </w:p>
    <w:p>
      <w:pPr>
        <w:pStyle w:val="Heading3"/>
        <w:keepNext/>
        <w:bidi/>
        <w:spacing w:after="120" w:before="240"/>
        <w:jc w:val="right"/>
      </w:pPr>
      <w:r>
        <w:rPr>
          <w:rFonts w:ascii="Simplified Arabic" w:cs="Simplified Arabic" w:hAnsi="Simplified Arabic"/>
          <w:b/>
          <w:bCs/>
          <w:color w:val="2E5597"/>
          <w:sz w:val="30"/>
          <w:szCs w:val="30"/>
          <w:rtl/>
        </w:rPr>
        <w:t xml:space="preserve">8. أين يكون خطر العملات المستقرة الدولارية أشد: في مصر أم في قطر؟</w:t>
      </w:r>
    </w:p>
    <w:p>
      <w:pPr>
        <w:bidi/>
        <w:spacing w:after="120" w:line="360"/>
        <w:jc w:val="both"/>
      </w:pPr>
      <w:r>
        <w:rPr>
          <w:rFonts w:ascii="Simplified Arabic" w:cs="Simplified Arabic" w:hAnsi="Simplified Arabic"/>
          <w:sz w:val="28"/>
          <w:szCs w:val="28"/>
          <w:rtl/>
        </w:rPr>
        <w:t xml:space="preserve">هذه هي الفرضية الرابعة. الخطر أشد في اقتصاد يقيد التعامل في النقد الأجنبي ولا يربط عملته ربطًا ثابتًا، كمصر. أما في اقتصاد ذي ربط ثابت موثوق، كقطر (3.64 ريال للدولار)، فيتصل الخطر أساسًا بكفاية احتياطيات الربط وبتدفقات رأس المال. ويتصل بذلك سؤال آخر: هل شراء USDT بالجنيه تعامل في نقد أجنبي؟ يُعالج ذلك في المبحث الثاني من الفصل الثاني من الباب الأول.</w:t>
      </w:r>
    </w:p>
    <w:p>
      <w:pPr>
        <w:pStyle w:val="Heading3"/>
        <w:keepNext/>
        <w:bidi/>
        <w:spacing w:after="120" w:before="240"/>
        <w:jc w:val="right"/>
      </w:pPr>
      <w:r>
        <w:rPr>
          <w:rFonts w:ascii="Simplified Arabic" w:cs="Simplified Arabic" w:hAnsi="Simplified Arabic"/>
          <w:b/>
          <w:bCs/>
          <w:color w:val="2E5597"/>
          <w:sz w:val="30"/>
          <w:szCs w:val="30"/>
          <w:rtl/>
        </w:rPr>
        <w:t xml:space="preserve">9. كيف تُفرض ضريبة على دخل من نشاط محظور؟</w:t>
      </w:r>
    </w:p>
    <w:p>
      <w:pPr>
        <w:bidi/>
        <w:spacing w:after="120" w:line="360"/>
        <w:jc w:val="both"/>
      </w:pPr>
      <w:r>
        <w:rPr>
          <w:rFonts w:ascii="Simplified Arabic" w:cs="Simplified Arabic" w:hAnsi="Simplified Arabic"/>
          <w:sz w:val="28"/>
          <w:szCs w:val="28"/>
          <w:rtl/>
        </w:rPr>
        <w:t xml:space="preserve">هذه هي الفرضية الخامسة. مبدأ قانونية الضريبة لا يمنع إخضاع الدخل للضريبة متى اندرج في وعاء قائم. لكن غياب معالجة صريحة يخل باليقين القانوني. ويحتاج الموقف الرسمي لمصلحة الضرائب المصرية إلى تحقق، وهو مدرج في قائمة «يلزم التحقق». وعن قطر: إن ثبت أنها لا تطبق حتى الآن ضريبة القيمة المضافة، تركزت المقارنة الضريبية فيها على ضريبة الدخل والشفافية الضريبية الدولية (إطار CARF).</w:t>
      </w:r>
    </w:p>
    <w:p>
      <w:pPr>
        <w:pStyle w:val="Heading3"/>
        <w:keepNext/>
        <w:bidi/>
        <w:spacing w:after="120" w:before="240"/>
        <w:jc w:val="right"/>
      </w:pPr>
      <w:r>
        <w:rPr>
          <w:rFonts w:ascii="Simplified Arabic" w:cs="Simplified Arabic" w:hAnsi="Simplified Arabic"/>
          <w:b/>
          <w:bCs/>
          <w:color w:val="2E5597"/>
          <w:sz w:val="30"/>
          <w:szCs w:val="30"/>
          <w:rtl/>
        </w:rPr>
        <w:t xml:space="preserve">10. ما الفرق بين رسالتك والرسائل السابقة في الكلية؟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right"/>
            </w:pPr>
            <w:r>
              <w:rPr>
                <w:rFonts w:ascii="Simplified Arabic" w:cs="Simplified Arabic" w:hAnsi="Simplified Arabic"/>
                <w:b/>
                <w:bCs/>
                <w:sz w:val="24"/>
                <w:szCs w:val="24"/>
                <w:rtl/>
              </w:rPr>
              <w:t xml:space="preserve">الرسالة</w:t>
            </w:r>
          </w:p>
        </w:tc>
        <w:tc>
          <w:tcPr>
            <w:tcW w:type="dxa" w:w="451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right"/>
            </w:pPr>
            <w:r>
              <w:rPr>
                <w:rFonts w:ascii="Simplified Arabic" w:cs="Simplified Arabic" w:hAnsi="Simplified Arabic"/>
                <w:b/>
                <w:bCs/>
                <w:sz w:val="24"/>
                <w:szCs w:val="24"/>
                <w:rtl/>
              </w:rPr>
              <w:t xml:space="preserve">منظورها</w:t>
            </w:r>
          </w:p>
        </w:tc>
      </w:tr>
      <w:tr>
        <w:trPr>
          <w:tblHeader w:val="false"/>
        </w:trP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الزعبي (2023) ومشرف (2024)</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جنائي</w:t>
            </w:r>
          </w:p>
        </w:tc>
      </w:tr>
      <w:tr>
        <w:trPr>
          <w:tblHeader w:val="false"/>
        </w:trP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الدش (2025) وسالم (2014)</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تجاري، يتعلق بأدوات الدفع</w:t>
            </w:r>
          </w:p>
        </w:tc>
      </w:tr>
      <w:tr>
        <w:trPr>
          <w:tblHeader w:val="false"/>
        </w:trP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البيلي (ماجستير، دمياط 2022)</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نقدي، لكن بلا تنظيم قضائي ولا مقارنة قطرية ولا بعد ضريبي، وسابقة على مستجدات 2023–2026</w:t>
            </w:r>
          </w:p>
        </w:tc>
      </w:tr>
    </w:tbl>
    <w:p>
      <w:pPr>
        <w:bidi/>
      </w:pPr>
    </w:p>
    <w:p>
      <w:pPr>
        <w:bidi/>
        <w:spacing w:after="120" w:line="360"/>
        <w:jc w:val="both"/>
      </w:pPr>
      <w:r>
        <w:rPr>
          <w:rFonts w:ascii="Simplified Arabic" w:cs="Simplified Arabic" w:hAnsi="Simplified Arabic"/>
          <w:sz w:val="28"/>
          <w:szCs w:val="28"/>
          <w:rtl/>
        </w:rPr>
        <w:t xml:space="preserve">أما رسالتك فمركز ثقلها نقدي ومالي عام، ومقارنتها مصرية قطرية، وتضيف الشق القضائي والمقترح التشريعي.</w:t>
      </w:r>
    </w:p>
    <w:p>
      <w:pPr>
        <w:pStyle w:val="Heading3"/>
        <w:keepNext/>
        <w:bidi/>
        <w:spacing w:after="120" w:before="240"/>
        <w:jc w:val="right"/>
      </w:pPr>
      <w:r>
        <w:rPr>
          <w:rFonts w:ascii="Simplified Arabic" w:cs="Simplified Arabic" w:hAnsi="Simplified Arabic"/>
          <w:b/>
          <w:bCs/>
          <w:color w:val="2E5597"/>
          <w:sz w:val="30"/>
          <w:szCs w:val="30"/>
          <w:rtl/>
        </w:rPr>
        <w:t xml:space="preserve">11. بأي معيار تحكم على كفاية التنظيم؟</w:t>
      </w:r>
    </w:p>
    <w:p>
      <w:pPr>
        <w:bidi/>
        <w:spacing w:after="120" w:line="360"/>
        <w:jc w:val="both"/>
      </w:pPr>
      <w:r>
        <w:rPr>
          <w:rFonts w:ascii="Simplified Arabic" w:cs="Simplified Arabic" w:hAnsi="Simplified Arabic"/>
          <w:sz w:val="28"/>
          <w:szCs w:val="28"/>
          <w:rtl/>
        </w:rPr>
        <w:t xml:space="preserve">بثلاث مرجعيات معلنة في البند (6) من المنهج:</w:t>
      </w:r>
    </w:p>
    <w:p>
      <w:pPr>
        <w:pStyle w:val="ListParagraph"/>
        <w:numPr>
          <w:ilvl w:val="0"/>
          <w:numId w:val="2"/>
        </w:numPr>
        <w:bidi/>
        <w:spacing w:after="60" w:line="340"/>
        <w:jc w:val="both"/>
      </w:pPr>
      <w:r>
        <w:rPr>
          <w:rFonts w:ascii="Simplified Arabic" w:cs="Simplified Arabic" w:hAnsi="Simplified Arabic"/>
          <w:sz w:val="28"/>
          <w:szCs w:val="28"/>
          <w:rtl/>
        </w:rPr>
        <w:t xml:space="preserve">عناصر صندوق النقد الدولي التسعة (2023).</w:t>
      </w:r>
    </w:p>
    <w:p>
      <w:pPr>
        <w:pStyle w:val="ListParagraph"/>
        <w:numPr>
          <w:ilvl w:val="0"/>
          <w:numId w:val="2"/>
        </w:numPr>
        <w:bidi/>
        <w:spacing w:after="60" w:line="340"/>
        <w:jc w:val="both"/>
      </w:pPr>
      <w:r>
        <w:rPr>
          <w:rFonts w:ascii="Simplified Arabic" w:cs="Simplified Arabic" w:hAnsi="Simplified Arabic"/>
          <w:sz w:val="28"/>
          <w:szCs w:val="28"/>
          <w:rtl/>
        </w:rPr>
        <w:t xml:space="preserve">مبدأ مجلس الاستقرار المالي: «النشاط ذاته والخطر ذاته والتنظيم ذاته».</w:t>
      </w:r>
    </w:p>
    <w:p>
      <w:pPr>
        <w:pStyle w:val="ListParagraph"/>
        <w:numPr>
          <w:ilvl w:val="0"/>
          <w:numId w:val="2"/>
        </w:numPr>
        <w:bidi/>
        <w:spacing w:after="60" w:line="340"/>
        <w:jc w:val="both"/>
      </w:pPr>
      <w:r>
        <w:rPr>
          <w:rFonts w:ascii="Simplified Arabic" w:cs="Simplified Arabic" w:hAnsi="Simplified Arabic"/>
          <w:sz w:val="28"/>
          <w:szCs w:val="28"/>
          <w:rtl/>
        </w:rPr>
        <w:t xml:space="preserve">مبدأ الشرعية الدستورية.</w:t>
      </w:r>
    </w:p>
    <w:p>
      <w:pPr>
        <w:pStyle w:val="Heading3"/>
        <w:keepNext/>
        <w:bidi/>
        <w:spacing w:after="120" w:before="240"/>
        <w:jc w:val="right"/>
      </w:pPr>
      <w:r>
        <w:rPr>
          <w:rFonts w:ascii="Simplified Arabic" w:cs="Simplified Arabic" w:hAnsi="Simplified Arabic"/>
          <w:b/>
          <w:bCs/>
          <w:color w:val="2E5597"/>
          <w:sz w:val="30"/>
          <w:szCs w:val="30"/>
          <w:rtl/>
        </w:rPr>
        <w:t xml:space="preserve">12. أين شبهة عدم الدستورية؟</w:t>
      </w:r>
    </w:p>
    <w:p>
      <w:pPr>
        <w:bidi/>
        <w:spacing w:after="120" w:line="360"/>
        <w:jc w:val="both"/>
      </w:pPr>
      <w:r>
        <w:rPr>
          <w:rFonts w:ascii="Simplified Arabic" w:cs="Simplified Arabic" w:hAnsi="Simplified Arabic"/>
          <w:sz w:val="28"/>
          <w:szCs w:val="28"/>
          <w:rtl/>
        </w:rPr>
        <w:t xml:space="preserve">هذه هي الفرضية السادسة. الشبهة أقوى في قطر، لأن المادة (40) من دستورها تنص على «لا جريمة ولا عقوبة إلا بقانون»، بينما يقوم الحظر هناك على تعاميم إدارية. أما في مصر فالجريمة والعقوبة مقررتان في القانون، وصيغة المادة (95) «بناء على قانون» تتسع لإحالة شروط الترخيص إلى السلطة التنظيمية. فينتقل البحث في مصر إلى حدود السلطة التنظيمية للبنك المركزي وإلى تناسب الحظر الفعلي.</w:t>
      </w:r>
    </w:p>
    <w:p>
      <w:pPr>
        <w:pStyle w:val="Heading3"/>
        <w:keepNext/>
        <w:bidi/>
        <w:spacing w:after="120" w:before="240"/>
        <w:jc w:val="right"/>
      </w:pPr>
      <w:r>
        <w:rPr>
          <w:rFonts w:ascii="Simplified Arabic" w:cs="Simplified Arabic" w:hAnsi="Simplified Arabic"/>
          <w:b/>
          <w:bCs/>
          <w:color w:val="2E5597"/>
          <w:sz w:val="30"/>
          <w:szCs w:val="30"/>
          <w:rtl/>
        </w:rPr>
        <w:t xml:space="preserve">13. المقترح التشريعي لمن؟</w:t>
      </w:r>
    </w:p>
    <w:p>
      <w:pPr>
        <w:bidi/>
        <w:spacing w:after="120" w:line="360"/>
        <w:jc w:val="both"/>
      </w:pPr>
      <w:r>
        <w:rPr>
          <w:rFonts w:ascii="Simplified Arabic" w:cs="Simplified Arabic" w:hAnsi="Simplified Arabic"/>
          <w:sz w:val="28"/>
          <w:szCs w:val="28"/>
          <w:rtl/>
        </w:rPr>
        <w:t xml:space="preserve">للبلدين، في صورة نصوص محددة لا مشروع قانون شامل:</w:t>
      </w:r>
    </w:p>
    <w:p>
      <w:pPr>
        <w:pStyle w:val="ListParagraph"/>
        <w:numPr>
          <w:ilvl w:val="0"/>
          <w:numId w:val="2"/>
        </w:numPr>
        <w:bidi/>
        <w:spacing w:after="60" w:line="340"/>
        <w:jc w:val="both"/>
      </w:pPr>
      <w:r>
        <w:rPr>
          <w:rFonts w:ascii="Simplified Arabic" w:cs="Simplified Arabic" w:hAnsi="Simplified Arabic"/>
          <w:b/>
          <w:bCs/>
          <w:sz w:val="28"/>
          <w:szCs w:val="28"/>
          <w:rtl/>
        </w:rPr>
        <w:t xml:space="preserve">لمصر:</w:t>
      </w:r>
      <w:r>
        <w:rPr>
          <w:rFonts w:ascii="Simplified Arabic" w:cs="Simplified Arabic" w:hAnsi="Simplified Arabic"/>
          <w:sz w:val="28"/>
          <w:szCs w:val="28"/>
          <w:rtl/>
        </w:rPr>
        <w:t xml:space="preserve"> تعديلات على القانون رقم 194 لسنة 2020 وقانون المحاكم الاقتصادية.</w:t>
      </w:r>
    </w:p>
    <w:p>
      <w:pPr>
        <w:pStyle w:val="ListParagraph"/>
        <w:numPr>
          <w:ilvl w:val="0"/>
          <w:numId w:val="2"/>
        </w:numPr>
        <w:bidi/>
        <w:spacing w:after="60" w:line="340"/>
        <w:jc w:val="both"/>
      </w:pPr>
      <w:r>
        <w:rPr>
          <w:rFonts w:ascii="Simplified Arabic" w:cs="Simplified Arabic" w:hAnsi="Simplified Arabic"/>
          <w:b/>
          <w:bCs/>
          <w:sz w:val="28"/>
          <w:szCs w:val="28"/>
          <w:rtl/>
        </w:rPr>
        <w:t xml:space="preserve">لقطر:</w:t>
      </w:r>
      <w:r>
        <w:rPr>
          <w:rFonts w:ascii="Simplified Arabic" w:cs="Simplified Arabic" w:hAnsi="Simplified Arabic"/>
          <w:sz w:val="28"/>
          <w:szCs w:val="28"/>
          <w:rtl/>
        </w:rPr>
        <w:t xml:space="preserve"> نصوص أساسية لقانون ينقل التنظيم من مستوى التعميم الإداري إلى مستوى القانون.</w:t>
      </w:r>
    </w:p>
    <w:p>
      <w:pPr>
        <w:bidi/>
        <w:spacing w:after="120" w:line="360"/>
        <w:jc w:val="both"/>
      </w:pPr>
      <w:r>
        <w:rPr>
          <w:rFonts w:ascii="Simplified Arabic" w:cs="Simplified Arabic" w:hAnsi="Simplified Arabic"/>
          <w:sz w:val="28"/>
          <w:szCs w:val="28"/>
          <w:rtl/>
        </w:rPr>
        <w:t xml:space="preserve">ومن محاورها النقدية والمالية: حماية قوة الإبراء للعملة الوطنية، وضوابط العملات المستقرة، والمعاملة الضريبية، والأساس القانوني الصريح لإصدار عملة رقمية رسمية.</w:t>
      </w:r>
    </w:p>
    <w:p>
      <w:pPr>
        <w:pStyle w:val="Heading3"/>
        <w:keepNext/>
        <w:bidi/>
        <w:spacing w:after="120" w:before="240"/>
        <w:jc w:val="right"/>
      </w:pPr>
      <w:r>
        <w:rPr>
          <w:rFonts w:ascii="Simplified Arabic" w:cs="Simplified Arabic" w:hAnsi="Simplified Arabic"/>
          <w:b/>
          <w:bCs/>
          <w:color w:val="2E5597"/>
          <w:sz w:val="30"/>
          <w:szCs w:val="30"/>
          <w:rtl/>
        </w:rPr>
        <w:t xml:space="preserve">14. كيف تتعامل مع سرعة تغير المادة العلمية؟</w:t>
      </w:r>
    </w:p>
    <w:p>
      <w:pPr>
        <w:bidi/>
        <w:spacing w:after="120" w:line="360"/>
        <w:jc w:val="both"/>
      </w:pPr>
      <w:r>
        <w:rPr>
          <w:rFonts w:ascii="Simplified Arabic" w:cs="Simplified Arabic" w:hAnsi="Simplified Arabic"/>
          <w:sz w:val="28"/>
          <w:szCs w:val="28"/>
          <w:rtl/>
        </w:rPr>
        <w:t xml:space="preserve">بتحديد تاريخ لتجميد المادة العلمية في نهاية الشهر الثلاثين، مع ملحق للمستجدات اللاحقة.</w:t>
      </w:r>
    </w:p>
    <w:p>
      <w:pPr>
        <w:pStyle w:val="Heading3"/>
        <w:keepNext/>
        <w:bidi/>
        <w:spacing w:after="120" w:before="240"/>
        <w:jc w:val="right"/>
      </w:pPr>
      <w:r>
        <w:rPr>
          <w:rFonts w:ascii="Simplified Arabic" w:cs="Simplified Arabic" w:hAnsi="Simplified Arabic"/>
          <w:b/>
          <w:bCs/>
          <w:color w:val="2E5597"/>
          <w:sz w:val="30"/>
          <w:szCs w:val="30"/>
          <w:rtl/>
        </w:rPr>
        <w:t xml:space="preserve">15. أين إطار «حق الدولة في الرقابة وحرية السوق في الانطلاق» في الرسالة؟</w:t>
      </w:r>
    </w:p>
    <w:p>
      <w:pPr>
        <w:bidi/>
        <w:spacing w:after="120" w:line="360"/>
        <w:jc w:val="both"/>
      </w:pPr>
      <w:r>
        <w:rPr>
          <w:rFonts w:ascii="Simplified Arabic" w:cs="Simplified Arabic" w:hAnsi="Simplified Arabic"/>
          <w:sz w:val="28"/>
          <w:szCs w:val="28"/>
          <w:rtl/>
        </w:rPr>
        <w:t xml:space="preserve">هو الإطار التحليلي للرسالة كلها، ويُختم كل فصل بخلاصة تقويمية تقيس نتائجه بميزانه. (وهذا العنوان هو عنوان كتاب للأستاذ الدكتور المشرف، دار النهضة العربية 2011، ومنشور بحثًا في مجلة القانون والاقتصاد ع85، 2012.)</w:t>
      </w:r>
    </w:p>
    <w:p>
      <w:pPr>
        <w:pStyle w:val="Heading3"/>
        <w:keepNext/>
        <w:bidi/>
        <w:spacing w:after="120" w:before="240"/>
        <w:jc w:val="right"/>
      </w:pPr>
      <w:r>
        <w:rPr>
          <w:rFonts w:ascii="Simplified Arabic" w:cs="Simplified Arabic" w:hAnsi="Simplified Arabic"/>
          <w:b/>
          <w:bCs/>
          <w:color w:val="2E5597"/>
          <w:sz w:val="30"/>
          <w:szCs w:val="30"/>
          <w:rtl/>
        </w:rPr>
        <w:t xml:space="preserve">16. هل تقبل إشرافًا مشاركًا من قسم القانون المدني أو التجاري؟</w:t>
      </w:r>
    </w:p>
    <w:p>
      <w:pPr>
        <w:bidi/>
        <w:spacing w:after="120" w:line="360"/>
        <w:jc w:val="both"/>
      </w:pPr>
      <w:r>
        <w:rPr>
          <w:rFonts w:ascii="Simplified Arabic" w:cs="Simplified Arabic" w:hAnsi="Simplified Arabic"/>
          <w:sz w:val="28"/>
          <w:szCs w:val="28"/>
          <w:rtl/>
        </w:rPr>
        <w:t xml:space="preserve">الأليق أن تترك القرار للأستاذ المشرف. ويمكنك أن تبيّن أنك ترحب بما يراه القسم، وأن مباحث التكييف والإجراءات مسخَّرة لخدمة السؤال النقدي والمالي، لا مقصودة لذاتها.</w:t>
      </w:r>
    </w:p>
    <w:p>
      <w:pPr>
        <w:pStyle w:val="Heading3"/>
        <w:keepNext/>
        <w:bidi/>
        <w:spacing w:after="120" w:before="240"/>
        <w:jc w:val="right"/>
      </w:pPr>
      <w:r>
        <w:rPr>
          <w:rFonts w:ascii="Simplified Arabic" w:cs="Simplified Arabic" w:hAnsi="Simplified Arabic"/>
          <w:b/>
          <w:bCs/>
          <w:color w:val="2E5597"/>
          <w:sz w:val="30"/>
          <w:szCs w:val="30"/>
          <w:rtl/>
        </w:rPr>
        <w:t xml:space="preserve">17. ما وزن الفقه الإسلامي في الرسالة؟</w:t>
      </w:r>
    </w:p>
    <w:p>
      <w:pPr>
        <w:bidi/>
        <w:spacing w:after="120" w:line="360"/>
        <w:jc w:val="both"/>
      </w:pPr>
      <w:r>
        <w:rPr>
          <w:rFonts w:ascii="Simplified Arabic" w:cs="Simplified Arabic" w:hAnsi="Simplified Arabic"/>
          <w:sz w:val="28"/>
          <w:szCs w:val="28"/>
          <w:rtl/>
        </w:rPr>
        <w:t xml:space="preserve">وزنه تأصيلي محدود بثلاث مسائل: علة الثمنية، وولاية إصدار النقد (الماوردي)، والمال المتقوم. ويُراعى ألا يُنسب إلى مجمع الفقه الإسلامي الدولي حكم في العملات المشفرة، لأنه أرجأ البت فيها في قراره رقم 230 (24/1).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plified Arabic" w:cs="Simplified Arabic" w:eastAsia="Simplified Arabic" w:hAnsi="Simplified Arabic"/>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720" w:hanging="360"/>
      </w:pPr>
    </w:lvl>
    <w:lvl w:ilvl="1" w15:tentative="1">
      <w:start w:val="1"/>
      <w:numFmt w:val="bullet"/>
      <w:lvlText w:val="○"/>
      <w:lvlJc w:val="right"/>
      <w:pPr>
        <w:ind w:start="1080" w:hanging="360"/>
      </w:pPr>
    </w:lvl>
    <w:lvl w:ilvl="2" w15:tentative="1">
      <w:start w:val="1"/>
      <w:numFmt w:val="bullet"/>
      <w:lvlText w:val="■"/>
      <w:lvlJc w:val="right"/>
      <w:pPr>
        <w:ind w:star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plified Arabic" w:cs="Simplified Arabic" w:eastAsia="Simplified Arabic" w:hAnsi="Simplified Arabic"/>
        <w:sz w:val="28"/>
        <w:szCs w:val="28"/>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خطة رسالة الدكتوراه</dc:title>
  <cp:lastModifiedBy>Un-named</cp:lastModifiedBy>
  <cp:revision>1</cp:revision>
  <dcterms:created xsi:type="dcterms:W3CDTF">2026-10-10T15:59:17.326Z</dcterms:created>
  <dcterms:modified xsi:type="dcterms:W3CDTF">2026-10-10T15:59:17.326Z</dcterms:modified>
</cp:coreProperties>
</file>

<file path=docProps/custom.xml><?xml version="1.0" encoding="utf-8"?>
<Properties xmlns="http://schemas.openxmlformats.org/officeDocument/2006/custom-properties" xmlns:vt="http://schemas.openxmlformats.org/officeDocument/2006/docPropsVTypes"/>
</file>