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jc w:val="center"/>
      </w:pPr>
      <w:r>
        <w:rPr>
          <w:rFonts w:ascii="Simplified Arabic" w:cs="Simplified Arabic" w:hAnsi="Simplified Arabic"/>
          <w:b/>
          <w:bCs/>
          <w:sz w:val="28"/>
          <w:szCs w:val="28"/>
          <w:rtl/>
        </w:rPr>
        <w:t xml:space="preserve">جامعة القاهرة</w:t>
      </w:r>
    </w:p>
    <w:p>
      <w:pPr>
        <w:bidi/>
        <w:spacing w:after="120" w:line="360"/>
        <w:jc w:val="center"/>
      </w:pPr>
      <w:r>
        <w:rPr>
          <w:rFonts w:ascii="Simplified Arabic" w:cs="Simplified Arabic" w:hAnsi="Simplified Arabic"/>
          <w:b/>
          <w:bCs/>
          <w:sz w:val="28"/>
          <w:szCs w:val="28"/>
          <w:rtl/>
        </w:rPr>
        <w:t xml:space="preserve">كلية الحقوق</w:t>
      </w:r>
    </w:p>
    <w:p>
      <w:pPr>
        <w:bidi/>
        <w:spacing w:after="120" w:line="360"/>
        <w:jc w:val="center"/>
      </w:pPr>
      <w:r>
        <w:rPr>
          <w:rFonts w:ascii="Simplified Arabic" w:cs="Simplified Arabic" w:hAnsi="Simplified Arabic"/>
          <w:b/>
          <w:bCs/>
          <w:sz w:val="28"/>
          <w:szCs w:val="28"/>
          <w:rtl/>
        </w:rPr>
        <w:t xml:space="preserve">قسم المالية العامة</w:t>
      </w:r>
    </w:p>
    <w:p>
      <w:pPr>
        <w:bidi/>
        <w:spacing w:after="120" w:line="360"/>
        <w:jc w:val="center"/>
      </w:pPr>
    </w:p>
    <w:p>
      <w:pPr>
        <w:bidi/>
        <w:spacing w:after="120" w:line="360"/>
        <w:jc w:val="center"/>
      </w:pPr>
      <w:r>
        <w:rPr>
          <w:rFonts w:ascii="Simplified Arabic" w:cs="Simplified Arabic" w:hAnsi="Simplified Arabic"/>
          <w:sz w:val="28"/>
          <w:szCs w:val="28"/>
          <w:rtl/>
        </w:rPr>
        <w:t xml:space="preserve">خطة بحث مقدمة لتسجيل رسالة لنيل درجة الدكتوراه في الحقوق (مالية عامة)</w:t>
      </w:r>
    </w:p>
    <w:p>
      <w:pPr>
        <w:bidi/>
        <w:spacing w:after="120" w:line="360"/>
        <w:jc w:val="center"/>
      </w:pPr>
    </w:p>
    <w:p>
      <w:pPr>
        <w:pStyle w:val="Heading1"/>
        <w:keepNext/>
        <w:bidi/>
        <w:spacing w:after="120" w:before="360"/>
        <w:jc w:val="center"/>
      </w:pPr>
      <w:r>
        <w:rPr>
          <w:rFonts w:ascii="Simplified Arabic" w:cs="Simplified Arabic" w:hAnsi="Simplified Arabic"/>
          <w:b/>
          <w:bCs/>
          <w:color w:val="1F3864"/>
          <w:sz w:val="36"/>
          <w:szCs w:val="36"/>
          <w:rtl/>
        </w:rPr>
        <w:t xml:space="preserve">التنظيم القانوني والقضائي للعملات الرقمية</w:t>
      </w:r>
    </w:p>
    <w:p>
      <w:pPr>
        <w:pStyle w:val="Heading2"/>
        <w:keepNext/>
        <w:bidi/>
        <w:spacing w:after="120" w:before="360"/>
        <w:jc w:val="center"/>
      </w:pPr>
      <w:r>
        <w:rPr>
          <w:rFonts w:ascii="Simplified Arabic" w:cs="Simplified Arabic" w:hAnsi="Simplified Arabic"/>
          <w:b/>
          <w:bCs/>
          <w:color w:val="1F3864"/>
          <w:sz w:val="32"/>
          <w:szCs w:val="32"/>
          <w:rtl/>
        </w:rPr>
        <w:t xml:space="preserve">دراسة مقارنة بين القانونين المصري والقطري وبعض الأنظمة المقارنة، في ضوء مقتضيات السيادة النقدية والمالية العامة</w:t>
      </w:r>
    </w:p>
    <w:p>
      <w:pPr>
        <w:bidi/>
        <w:spacing w:after="120" w:line="360"/>
        <w:jc w:val="center"/>
      </w:pPr>
    </w:p>
    <w:p>
      <w:pPr>
        <w:bidi/>
        <w:spacing w:after="120" w:line="360"/>
        <w:jc w:val="center"/>
      </w:pPr>
      <w:r>
        <w:rPr>
          <w:rFonts w:ascii="Simplified Arabic" w:cs="Simplified Arabic" w:hAnsi="Simplified Arabic"/>
          <w:b/>
          <w:bCs/>
          <w:sz w:val="28"/>
          <w:szCs w:val="28"/>
          <w:rtl/>
        </w:rPr>
        <w:t xml:space="preserve">إعداد الباحث</w:t>
      </w:r>
    </w:p>
    <w:p>
      <w:pPr>
        <w:bidi/>
        <w:spacing w:after="120" w:line="360"/>
        <w:jc w:val="center"/>
      </w:pPr>
      <w:r>
        <w:rPr>
          <w:rFonts w:ascii="Simplified Arabic" w:cs="Simplified Arabic" w:hAnsi="Simplified Arabic"/>
          <w:sz w:val="28"/>
          <w:szCs w:val="28"/>
          <w:rtl/>
        </w:rPr>
        <w:t xml:space="preserve">................................................</w:t>
      </w:r>
    </w:p>
    <w:p>
      <w:pPr>
        <w:bidi/>
        <w:spacing w:after="120" w:line="360"/>
        <w:jc w:val="center"/>
      </w:pPr>
    </w:p>
    <w:p>
      <w:pPr>
        <w:bidi/>
        <w:spacing w:after="120" w:line="360"/>
        <w:jc w:val="center"/>
      </w:pPr>
      <w:r>
        <w:rPr>
          <w:rFonts w:ascii="Simplified Arabic" w:cs="Simplified Arabic" w:hAnsi="Simplified Arabic"/>
          <w:b/>
          <w:bCs/>
          <w:sz w:val="28"/>
          <w:szCs w:val="28"/>
          <w:rtl/>
        </w:rPr>
        <w:t xml:space="preserve">تحت إشراف</w:t>
      </w:r>
    </w:p>
    <w:p>
      <w:pPr>
        <w:bidi/>
        <w:spacing w:after="120" w:line="360"/>
        <w:jc w:val="center"/>
      </w:pPr>
      <w:r>
        <w:rPr>
          <w:rFonts w:ascii="Simplified Arabic" w:cs="Simplified Arabic" w:hAnsi="Simplified Arabic"/>
          <w:b/>
          <w:bCs/>
          <w:sz w:val="28"/>
          <w:szCs w:val="28"/>
          <w:rtl/>
        </w:rPr>
        <w:t xml:space="preserve">الأستاذ الدكتور/ السيد طه بدوي</w:t>
      </w:r>
    </w:p>
    <w:p>
      <w:pPr>
        <w:bidi/>
        <w:spacing w:after="120" w:line="360"/>
        <w:jc w:val="center"/>
      </w:pPr>
      <w:r>
        <w:rPr>
          <w:rFonts w:ascii="Simplified Arabic" w:cs="Simplified Arabic" w:hAnsi="Simplified Arabic"/>
          <w:sz w:val="28"/>
          <w:szCs w:val="28"/>
          <w:rtl/>
        </w:rPr>
        <w:t xml:space="preserve">أستاذ المالية العامة ورئيس القسم — كلية الحقوق، جامعة القاهرة</w:t>
      </w:r>
    </w:p>
    <w:p>
      <w:pPr>
        <w:bidi/>
        <w:spacing w:after="120" w:line="360"/>
        <w:jc w:val="center"/>
      </w:pPr>
      <w:r>
        <w:rPr>
          <w:rFonts w:ascii="Simplified Arabic" w:cs="Simplified Arabic" w:hAnsi="Simplified Arabic"/>
          <w:sz w:val="28"/>
          <w:szCs w:val="28"/>
          <w:rtl/>
        </w:rPr>
        <w:t xml:space="preserve">(اعتماد الأستاذ المشرف وتوقيعه: ........................................)</w:t>
      </w:r>
    </w:p>
    <w:p>
      <w:pPr>
        <w:bidi/>
        <w:spacing w:after="120" w:line="360"/>
        <w:jc w:val="center"/>
      </w:pPr>
    </w:p>
    <w:p>
      <w:pPr>
        <w:bidi/>
        <w:spacing w:after="120" w:line="360"/>
        <w:jc w:val="center"/>
      </w:pPr>
      <w:r>
        <w:rPr>
          <w:rFonts w:ascii="Simplified Arabic" w:cs="Simplified Arabic" w:hAnsi="Simplified Arabic"/>
          <w:b/>
          <w:bCs/>
          <w:sz w:val="28"/>
          <w:szCs w:val="28"/>
          <w:rtl/>
        </w:rPr>
        <w:t xml:space="preserve">العام الجامعي 2026/2027</w:t>
      </w:r>
    </w:p>
    <w:p>
      <w:r>
        <w:br w:type="page"/>
      </w:r>
    </w:p>
    <w:p>
      <w:pPr>
        <w:pStyle w:val="Heading2"/>
        <w:keepNext/>
        <w:bidi/>
        <w:spacing w:after="120" w:before="360"/>
        <w:jc w:val="center"/>
      </w:pPr>
      <w:r>
        <w:rPr>
          <w:rFonts w:ascii="Simplified Arabic" w:cs="Simplified Arabic" w:hAnsi="Simplified Arabic"/>
          <w:b/>
          <w:bCs/>
          <w:color w:val="1F3864"/>
          <w:sz w:val="32"/>
          <w:szCs w:val="32"/>
          <w:rtl/>
        </w:rPr>
        <w:t xml:space="preserve">أولًا: تمهيد</w:t>
      </w:r>
    </w:p>
    <w:p>
      <w:pPr>
        <w:bidi/>
        <w:spacing w:after="120" w:line="360"/>
        <w:jc w:val="both"/>
      </w:pPr>
      <w:r>
        <w:rPr>
          <w:rFonts w:ascii="Simplified Arabic" w:cs="Simplified Arabic" w:hAnsi="Simplified Arabic"/>
          <w:sz w:val="28"/>
          <w:szCs w:val="28"/>
          <w:rtl/>
        </w:rPr>
        <w:t xml:space="preserve">منذ نحو عقد ونصف ظهرت وحدات قيمة رقمية تُنشأ وتُتداول عبر شبكات تقوم على التشفير وتقنية السجلات الموزعة (Distributed Ledger Technology). لا تصدر هذه الوحدات عن سلطة نقدية، ولا تضمنها دولة. ثم صارت سوقًا مالية عابرة للحدود، تنشأ عنها حقوق والتزامات ومنازعات وجرائم. ونشأت إلى جوارها العملات المستقرة (Stablecoins) التي ترتبط قيمتها بعملات رسمية. وفي المقابل بدأت البنوك المركزية مشروعات لإصدار عملات رقمية رسمية.</w:t>
      </w:r>
    </w:p>
    <w:p>
      <w:pPr>
        <w:bidi/>
        <w:spacing w:after="120" w:line="360"/>
        <w:jc w:val="both"/>
      </w:pPr>
      <w:r>
        <w:rPr>
          <w:rFonts w:ascii="Simplified Arabic" w:cs="Simplified Arabic" w:hAnsi="Simplified Arabic"/>
          <w:sz w:val="28"/>
          <w:szCs w:val="28"/>
          <w:rtl/>
        </w:rPr>
        <w:t xml:space="preserve">أعاد ذلك إلى الواجهة سؤالًا قديمًا في الاقتصاد والمالية العامة، هو انفراد الدولة بإصدار النقد. ولهذا الانفراد جذور في التراث المالي الإسلامي. فقد قرر الماوردي أن المطبوع من النقود «بالسكة السلطانية الموثوق بسلامة طبعه المأمون من تبديله وتلبيسه هو المستحق»، وأنه لذلك «كان هو الثابت في الذمم». وله في مصر سند دستوري صريح، فالمادة (220) من الدستور تجعل للبنك المركزي «وحده حق إصدار النقد». أما الدستور القطري فيترك للقانون تحديد النظام المالي والمصرفي للدولة وتعيين عملتها الرسمية (المادة 4).</w:t>
      </w:r>
    </w:p>
    <w:p>
      <w:pPr>
        <w:bidi/>
        <w:spacing w:after="120" w:line="360"/>
        <w:jc w:val="both"/>
      </w:pPr>
      <w:r>
        <w:rPr>
          <w:rFonts w:ascii="Simplified Arabic" w:cs="Simplified Arabic" w:hAnsi="Simplified Arabic"/>
          <w:sz w:val="28"/>
          <w:szCs w:val="28"/>
          <w:rtl/>
        </w:rPr>
        <w:t xml:space="preserve">وقد سلك المشرعان المصري والقطري طريقين مختلفين.</w:t>
      </w:r>
    </w:p>
    <w:p>
      <w:pPr>
        <w:bidi/>
        <w:spacing w:after="120" w:line="360"/>
        <w:jc w:val="both"/>
      </w:pPr>
      <w:r>
        <w:rPr>
          <w:rFonts w:ascii="Simplified Arabic" w:cs="Simplified Arabic" w:hAnsi="Simplified Arabic"/>
          <w:b/>
          <w:bCs/>
          <w:sz w:val="28"/>
          <w:szCs w:val="28"/>
          <w:rtl/>
        </w:rPr>
        <w:t xml:space="preserve">في مصر:</w:t>
      </w:r>
    </w:p>
    <w:p>
      <w:pPr>
        <w:pStyle w:val="ListParagraph"/>
        <w:numPr>
          <w:ilvl w:val="0"/>
          <w:numId w:val="2"/>
        </w:numPr>
        <w:bidi/>
        <w:spacing w:after="60" w:line="340"/>
        <w:jc w:val="both"/>
      </w:pPr>
      <w:r>
        <w:rPr>
          <w:rFonts w:ascii="Simplified Arabic" w:cs="Simplified Arabic" w:hAnsi="Simplified Arabic"/>
          <w:sz w:val="28"/>
          <w:szCs w:val="28"/>
          <w:rtl/>
        </w:rPr>
        <w:t xml:space="preserve">تحظر المادة (206) من قانون البنك المركزي والجهاز المصرفي الصادر بالقانون رقم 194 لسنة 2020 «إصدار العملات المشفرة أو النقود الإلكترونية أو الاتجار فيها أو الترويج لها أو إنشاء أو تشغيل منصات لتداولها أو تنفيذ الأنشطة المتعلقة بها دون الحصول على ترخيص من مجلس الإدارة طبقاً للقواعد والإجراءات التي يحددها».</w:t>
      </w:r>
    </w:p>
    <w:p>
      <w:pPr>
        <w:pStyle w:val="ListParagraph"/>
        <w:numPr>
          <w:ilvl w:val="0"/>
          <w:numId w:val="2"/>
        </w:numPr>
        <w:bidi/>
        <w:spacing w:after="60" w:line="340"/>
        <w:jc w:val="both"/>
      </w:pPr>
      <w:r>
        <w:rPr>
          <w:rFonts w:ascii="Simplified Arabic" w:cs="Simplified Arabic" w:hAnsi="Simplified Arabic"/>
          <w:sz w:val="28"/>
          <w:szCs w:val="28"/>
          <w:rtl/>
        </w:rPr>
        <w:t xml:space="preserve">وتعاقب المادة (225) على المخالفة بالحبس وبغرامة لا تقل عن مليون جنيه ولا تجاوز عشرة ملايين جنيه، أو بإحدى هاتين العقوبتين.</w:t>
      </w:r>
    </w:p>
    <w:p>
      <w:pPr>
        <w:pStyle w:val="ListParagraph"/>
        <w:numPr>
          <w:ilvl w:val="0"/>
          <w:numId w:val="2"/>
        </w:numPr>
        <w:bidi/>
        <w:spacing w:after="60" w:line="340"/>
        <w:jc w:val="both"/>
      </w:pPr>
      <w:r>
        <w:rPr>
          <w:rFonts w:ascii="Simplified Arabic" w:cs="Simplified Arabic" w:hAnsi="Simplified Arabic"/>
          <w:sz w:val="28"/>
          <w:szCs w:val="28"/>
          <w:rtl/>
        </w:rPr>
        <w:t xml:space="preserve">ثم أعلن البنك المركزي في بيانه الصادر في 8 مارس 2023 أنه «لم تصدر تراخيص لأي من هذه الأنشطة بالعمل في السوق المصري».</w:t>
      </w:r>
    </w:p>
    <w:p>
      <w:pPr>
        <w:pStyle w:val="ListParagraph"/>
        <w:numPr>
          <w:ilvl w:val="0"/>
          <w:numId w:val="2"/>
        </w:numPr>
        <w:bidi/>
        <w:spacing w:after="60" w:line="340"/>
        <w:jc w:val="both"/>
      </w:pPr>
      <w:r>
        <w:rPr>
          <w:rFonts w:ascii="Simplified Arabic" w:cs="Simplified Arabic" w:hAnsi="Simplified Arabic"/>
          <w:sz w:val="28"/>
          <w:szCs w:val="28"/>
          <w:rtl/>
        </w:rPr>
        <w:t xml:space="preserve">وفي الوقت نفسه أدخل المشرع «الأصول الافتراضية» في تعريف الأموال في قانون مكافحة غسل الأموال، بعد تعديله بالقانون رقم 17 لسنة 2020.</w:t>
      </w:r>
    </w:p>
    <w:p>
      <w:pPr>
        <w:bidi/>
        <w:spacing w:after="120" w:line="360"/>
        <w:jc w:val="both"/>
      </w:pPr>
      <w:r>
        <w:rPr>
          <w:rFonts w:ascii="Simplified Arabic" w:cs="Simplified Arabic" w:hAnsi="Simplified Arabic"/>
          <w:b/>
          <w:bCs/>
          <w:sz w:val="28"/>
          <w:szCs w:val="28"/>
          <w:rtl/>
        </w:rPr>
        <w:t xml:space="preserve">في قطر:</w:t>
      </w:r>
    </w:p>
    <w:p>
      <w:pPr>
        <w:pStyle w:val="ListParagraph"/>
        <w:numPr>
          <w:ilvl w:val="0"/>
          <w:numId w:val="2"/>
        </w:numPr>
        <w:bidi/>
        <w:spacing w:after="60" w:line="340"/>
        <w:jc w:val="both"/>
      </w:pPr>
      <w:r>
        <w:rPr>
          <w:rFonts w:ascii="Simplified Arabic" w:cs="Simplified Arabic" w:hAnsi="Simplified Arabic"/>
          <w:sz w:val="28"/>
          <w:szCs w:val="28"/>
          <w:rtl/>
        </w:rPr>
        <w:t xml:space="preserve">بدأ الموقف بتعميم من مصرف قطر المركزي في فبراير 2018 يحظر على البنوك التعامل في البتكوين. رقمه (6) لسنة 2018 بحسب الإحالة إليه في الأعمال التحضيرية لإطار الأصول الرقمية لمركز قطر للمال.</w:t>
      </w:r>
    </w:p>
    <w:p>
      <w:pPr>
        <w:pStyle w:val="ListParagraph"/>
        <w:numPr>
          <w:ilvl w:val="0"/>
          <w:numId w:val="2"/>
        </w:numPr>
        <w:bidi/>
        <w:spacing w:after="60" w:line="340"/>
        <w:jc w:val="both"/>
      </w:pPr>
      <w:r>
        <w:rPr>
          <w:rFonts w:ascii="Simplified Arabic" w:cs="Simplified Arabic" w:hAnsi="Simplified Arabic"/>
          <w:sz w:val="28"/>
          <w:szCs w:val="28"/>
          <w:rtl/>
        </w:rPr>
        <w:t xml:space="preserve">ثم امتد الحظر إلى الأصول الافتراضية عمومًا بالتعميم رقم (46) لسنة 2019، بحسب ما نقلته مصادر قانونية ثانوية.</w:t>
      </w:r>
    </w:p>
    <w:p>
      <w:pPr>
        <w:pStyle w:val="ListParagraph"/>
        <w:numPr>
          <w:ilvl w:val="0"/>
          <w:numId w:val="2"/>
        </w:numPr>
        <w:bidi/>
        <w:spacing w:after="60" w:line="340"/>
        <w:jc w:val="both"/>
      </w:pPr>
      <w:r>
        <w:rPr>
          <w:rFonts w:ascii="Simplified Arabic" w:cs="Simplified Arabic" w:hAnsi="Simplified Arabic"/>
          <w:sz w:val="28"/>
          <w:szCs w:val="28"/>
          <w:rtl/>
        </w:rPr>
        <w:t xml:space="preserve">وفي ديسمبر 2019 حظرت هيئة تنظيم مركز قطر للمال مزاولة خدمات الأصول الافتراضية في المركز أو منه.</w:t>
      </w:r>
    </w:p>
    <w:p>
      <w:pPr>
        <w:pStyle w:val="ListParagraph"/>
        <w:numPr>
          <w:ilvl w:val="0"/>
          <w:numId w:val="2"/>
        </w:numPr>
        <w:bidi/>
        <w:spacing w:after="60" w:line="340"/>
        <w:jc w:val="both"/>
      </w:pPr>
      <w:r>
        <w:rPr>
          <w:rFonts w:ascii="Simplified Arabic" w:cs="Simplified Arabic" w:hAnsi="Simplified Arabic"/>
          <w:sz w:val="28"/>
          <w:szCs w:val="28"/>
          <w:rtl/>
        </w:rPr>
        <w:t xml:space="preserve">ثم صدرت لائحة الأصول الرقمية لمركز قطر للمال لسنة 2024، فأجازت ترميز الأصول (Tokenization)، واستبعدت صراحة الرموز التي تُعد بديلًا عن العملة، ومنها العملات المشفرة والعملات المستقرة.</w:t>
      </w:r>
    </w:p>
    <w:p>
      <w:pPr>
        <w:pStyle w:val="ListParagraph"/>
        <w:numPr>
          <w:ilvl w:val="0"/>
          <w:numId w:val="2"/>
        </w:numPr>
        <w:bidi/>
        <w:spacing w:after="60" w:line="340"/>
        <w:jc w:val="both"/>
      </w:pPr>
      <w:r>
        <w:rPr>
          <w:rFonts w:ascii="Simplified Arabic" w:cs="Simplified Arabic" w:hAnsi="Simplified Arabic"/>
          <w:sz w:val="28"/>
          <w:szCs w:val="28"/>
          <w:rtl/>
        </w:rPr>
        <w:t xml:space="preserve">وأكدت هيئة التنظيم في بيانها المؤرخ 2 سبتمبر 2024 أن العملات الرقمية للبنوك المركزية من الرموز المستبعدة أيضًا.</w:t>
      </w:r>
    </w:p>
    <w:p>
      <w:pPr>
        <w:bidi/>
        <w:spacing w:after="120" w:line="360"/>
        <w:jc w:val="both"/>
      </w:pPr>
      <w:r>
        <w:rPr>
          <w:rFonts w:ascii="Simplified Arabic" w:cs="Simplified Arabic" w:hAnsi="Simplified Arabic"/>
          <w:sz w:val="28"/>
          <w:szCs w:val="28"/>
          <w:rtl/>
        </w:rPr>
        <w:t xml:space="preserve">فالنموذج القطري يقوم على حظر إداري للعملات، مع إباحة منظمة لترميز الأصول.</w:t>
      </w:r>
    </w:p>
    <w:p>
      <w:pPr>
        <w:bidi/>
        <w:spacing w:after="120" w:line="360"/>
        <w:jc w:val="both"/>
      </w:pPr>
      <w:r>
        <w:rPr>
          <w:rFonts w:ascii="Simplified Arabic" w:cs="Simplified Arabic" w:hAnsi="Simplified Arabic"/>
          <w:b/>
          <w:bCs/>
          <w:sz w:val="28"/>
          <w:szCs w:val="28"/>
          <w:rtl/>
        </w:rPr>
        <w:t xml:space="preserve">في الأنظمة المرجعية:</w:t>
      </w:r>
      <w:r>
        <w:rPr>
          <w:rFonts w:ascii="Simplified Arabic" w:cs="Simplified Arabic" w:hAnsi="Simplified Arabic"/>
          <w:sz w:val="28"/>
          <w:szCs w:val="28"/>
          <w:rtl/>
        </w:rPr>
        <w:t xml:space="preserve"> تبنى الاتحاد الأوروبي تنظيمًا شاملًا بلائحة الأسواق في الأصول المشفرة (MiCA) رقم 2023/1114. وأقامت الإمارات تنظيمًا ترخيصيًا متعدد المستويات. ونظمت الولايات المتحدة عملات الدفع المستقرة بقانون GENIUS الصادر في 18 يوليو 2025.</w:t>
      </w:r>
    </w:p>
    <w:p>
      <w:pPr>
        <w:bidi/>
        <w:spacing w:after="120" w:line="360"/>
        <w:jc w:val="both"/>
      </w:pPr>
      <w:r>
        <w:rPr>
          <w:rFonts w:ascii="Simplified Arabic" w:cs="Simplified Arabic" w:hAnsi="Simplified Arabic"/>
          <w:b/>
          <w:bCs/>
          <w:sz w:val="28"/>
          <w:szCs w:val="28"/>
          <w:rtl/>
        </w:rPr>
        <w:t xml:space="preserve">على الصعيد القضائي:</w:t>
      </w:r>
      <w:r>
        <w:rPr>
          <w:rFonts w:ascii="Simplified Arabic" w:cs="Simplified Arabic" w:hAnsi="Simplified Arabic"/>
          <w:sz w:val="28"/>
          <w:szCs w:val="28"/>
          <w:rtl/>
        </w:rPr>
        <w:t xml:space="preserve"> سبق القضاء المقارن المشرعين.</w:t>
      </w:r>
    </w:p>
    <w:p>
      <w:pPr>
        <w:pStyle w:val="ListParagraph"/>
        <w:numPr>
          <w:ilvl w:val="0"/>
          <w:numId w:val="2"/>
        </w:numPr>
        <w:bidi/>
        <w:spacing w:after="60" w:line="340"/>
        <w:jc w:val="both"/>
      </w:pPr>
      <w:r>
        <w:rPr>
          <w:rFonts w:ascii="Simplified Arabic" w:cs="Simplified Arabic" w:hAnsi="Simplified Arabic"/>
          <w:sz w:val="28"/>
          <w:szCs w:val="28"/>
          <w:rtl/>
        </w:rPr>
        <w:t xml:space="preserve">قرر القضاء الإنجليزي سنة 2019 أن البتكوين مال يصلح محلًا لأمر قضائي عيني، ثم جاء التقنين بقانون الملكية (الأصول الرقمية وغيرها) لسنة 2025.</w:t>
      </w:r>
    </w:p>
    <w:p>
      <w:pPr>
        <w:pStyle w:val="ListParagraph"/>
        <w:numPr>
          <w:ilvl w:val="0"/>
          <w:numId w:val="2"/>
        </w:numPr>
        <w:bidi/>
        <w:spacing w:after="60" w:line="340"/>
        <w:jc w:val="both"/>
      </w:pPr>
      <w:r>
        <w:rPr>
          <w:rFonts w:ascii="Simplified Arabic" w:cs="Simplified Arabic" w:hAnsi="Simplified Arabic"/>
          <w:sz w:val="28"/>
          <w:szCs w:val="28"/>
          <w:rtl/>
        </w:rPr>
        <w:t xml:space="preserve">وقضت محكمة الاستئناف في مركز دبي المالي العالمي سنة 2024 بأن البتكوين «فئة ثالثة من الأموال».</w:t>
      </w:r>
    </w:p>
    <w:p>
      <w:pPr>
        <w:pStyle w:val="ListParagraph"/>
        <w:numPr>
          <w:ilvl w:val="0"/>
          <w:numId w:val="2"/>
        </w:numPr>
        <w:bidi/>
        <w:spacing w:after="60" w:line="340"/>
        <w:jc w:val="both"/>
      </w:pPr>
      <w:r>
        <w:rPr>
          <w:rFonts w:ascii="Simplified Arabic" w:cs="Simplified Arabic" w:hAnsi="Simplified Arabic"/>
          <w:sz w:val="28"/>
          <w:szCs w:val="28"/>
          <w:rtl/>
        </w:rPr>
        <w:t xml:space="preserve">وفي مصر نظرت المحاكم الاقتصادية قضايا تضمنت الاتهام بمخالفة الحظر الوارد في المادة (206) إلى جانب جرائم تلقي الأموال، وصدرت فيها أحكام سنتي 2023 و2025 بحسب ما نشرته الصحافة.</w:t>
      </w:r>
    </w:p>
    <w:p>
      <w:pPr>
        <w:pStyle w:val="ListParagraph"/>
        <w:numPr>
          <w:ilvl w:val="0"/>
          <w:numId w:val="2"/>
        </w:numPr>
        <w:bidi/>
        <w:spacing w:after="60" w:line="340"/>
        <w:jc w:val="both"/>
      </w:pPr>
      <w:r>
        <w:rPr>
          <w:rFonts w:ascii="Simplified Arabic" w:cs="Simplified Arabic" w:hAnsi="Simplified Arabic"/>
          <w:sz w:val="28"/>
          <w:szCs w:val="28"/>
          <w:rtl/>
        </w:rPr>
        <w:t xml:space="preserve">وأعاد القانون رقم 156 لسنة 2024 تنظيم هذه المحاكم، فأنشأ دوائر للجنايات الاقتصادية بدرجتيها، ونص صراحة على اختصاصها المدني بالمنازعات الناشئة عن القانون رقم 194 لسنة 2020.</w:t>
      </w:r>
    </w:p>
    <w:p>
      <w:pPr>
        <w:bidi/>
        <w:spacing w:after="120" w:line="360"/>
        <w:jc w:val="both"/>
      </w:pPr>
      <w:r>
        <w:rPr>
          <w:rFonts w:ascii="Simplified Arabic" w:cs="Simplified Arabic" w:hAnsi="Simplified Arabic"/>
          <w:sz w:val="28"/>
          <w:szCs w:val="28"/>
          <w:rtl/>
        </w:rPr>
        <w:t xml:space="preserve">يقع الموضوع في صميم تخصص المالية العامة. فهو يمس السيادة النقدية، وفاعلية السياسة النقدية ونظام الصرف، والاستقرار المالي، والإيرادات العامة والضريبة. ويطرح كذلك العملة الرقمية للبنك المركزي بديلًا سياديًا.</w:t>
      </w:r>
    </w:p>
    <w:p>
      <w:pPr>
        <w:bidi/>
        <w:spacing w:after="120" w:line="360"/>
        <w:jc w:val="both"/>
      </w:pPr>
      <w:r>
        <w:rPr>
          <w:rFonts w:ascii="Simplified Arabic" w:cs="Simplified Arabic" w:hAnsi="Simplified Arabic"/>
          <w:sz w:val="28"/>
          <w:szCs w:val="28"/>
          <w:rtl/>
        </w:rPr>
        <w:t xml:space="preserve">ويتخذ البحث إطارًا تحليليًا له جدلية «حق الدولة في الرقابة وحرية السوق في الانطلاق». فالعملات الرقمية من أوضح صور هذه الجدلية في عصرنا: في جانب منطق اللامركزية وحرية السوق، وفي الجانب الآخر حق الدولة في حماية نظامها النقدي والمالي. ولا يقف هذا الإطار عند التمهيد، فكل فصل من فصول الرسالة يُقوَّم به في خلاصته.</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ثانيًا: أهمية البحث</w:t>
      </w:r>
    </w:p>
    <w:p>
      <w:pPr>
        <w:pStyle w:val="Heading3"/>
        <w:keepNext/>
        <w:bidi/>
        <w:spacing w:after="120" w:before="240"/>
        <w:jc w:val="right"/>
      </w:pPr>
      <w:r>
        <w:rPr>
          <w:rFonts w:ascii="Simplified Arabic" w:cs="Simplified Arabic" w:hAnsi="Simplified Arabic"/>
          <w:b/>
          <w:bCs/>
          <w:color w:val="2E5597"/>
          <w:sz w:val="30"/>
          <w:szCs w:val="30"/>
          <w:rtl/>
        </w:rPr>
        <w:t xml:space="preserve">(أ) الأهمية العلمية</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سد فجوة في دراسات المالية العامة.</w:t>
      </w:r>
      <w:r>
        <w:rPr>
          <w:rFonts w:ascii="Simplified Arabic" w:cs="Simplified Arabic" w:hAnsi="Simplified Arabic"/>
          <w:sz w:val="28"/>
          <w:szCs w:val="28"/>
          <w:rtl/>
        </w:rPr>
        <w:t xml:space="preserve"> رجع الباحث إلى فهرس مكتبة كلية الحقوق بجامعة القاهرة وإلى إعلانات المناقشة المنشورة بين أكتوبر 2022 ويناير 2026. والرسائل التي نوقشت في الكلية ولها صلة بالموضوع جاءت على نوعين: جنائية (2023 و2024)، وتجارية تعالج أدوات الدفع (2025، وقبلها رسالة 2014 في النقود الإلكترونية). ولم يقف الباحث، في حدود هذا الحصر، على رسالة في المالية العامة تجمع التنظيم التشريعي والتنظيم القضائي والبعدين النقدي والضريبي.</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الربط بين النظرية النقدية والتكييف القانوني.</w:t>
      </w:r>
      <w:r>
        <w:rPr>
          <w:rFonts w:ascii="Simplified Arabic" w:cs="Simplified Arabic" w:hAnsi="Simplified Arabic"/>
          <w:sz w:val="28"/>
          <w:szCs w:val="28"/>
          <w:rtl/>
        </w:rPr>
        <w:t xml:space="preserve"> يختبر البحث مدى تحقق وظائف النقود في العملات الرقمية، ويقيسها بمعايير بنك التسويات الدولية الثلاثة: الوحدة، والمرونة، والنزاهة. ثم يبني على النتيجة الاقتصادية تكييفًا قانونيًا منضبطًا.</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اختبار مفهوم المال في القانون المدني أمام أصل مستحدث.</w:t>
      </w:r>
      <w:r>
        <w:rPr>
          <w:rFonts w:ascii="Simplified Arabic" w:cs="Simplified Arabic" w:hAnsi="Simplified Arabic"/>
          <w:sz w:val="28"/>
          <w:szCs w:val="28"/>
          <w:rtl/>
        </w:rPr>
        <w:t xml:space="preserve"> ويميز البحث في ذلك بين أمرين كثيرًا ما يُخلط بينهما: الاعتراف بالأصل مالًا، والاعتراف به نقدًا.</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المقارنة الدستورية بين أدوات التنظيم.</w:t>
      </w:r>
      <w:r>
        <w:rPr>
          <w:rFonts w:ascii="Simplified Arabic" w:cs="Simplified Arabic" w:hAnsi="Simplified Arabic"/>
          <w:sz w:val="28"/>
          <w:szCs w:val="28"/>
          <w:rtl/>
        </w:rPr>
        <w:t xml:space="preserve"> فالمادة (95) من الدستور المصري تقول «لا جريمة ولا عقوبة إلا بناء على قانون»، والمادة (40) من الدستور القطري تقول «لا جريمة ولا عقوبة إلا بقانون». ويبحث البحث أثر هذا الفارق في مشروعية الحظر بأداة إدارية.</w:t>
      </w:r>
    </w:p>
    <w:p>
      <w:pPr>
        <w:pStyle w:val="Heading3"/>
        <w:keepNext/>
        <w:bidi/>
        <w:spacing w:after="120" w:before="240"/>
        <w:jc w:val="right"/>
      </w:pPr>
      <w:r>
        <w:rPr>
          <w:rFonts w:ascii="Simplified Arabic" w:cs="Simplified Arabic" w:hAnsi="Simplified Arabic"/>
          <w:b/>
          <w:bCs/>
          <w:color w:val="2E5597"/>
          <w:sz w:val="30"/>
          <w:szCs w:val="30"/>
          <w:rtl/>
        </w:rPr>
        <w:t xml:space="preserve">(ب) الأهمية العملية</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للمشرع المصري.</w:t>
      </w:r>
      <w:r>
        <w:rPr>
          <w:rFonts w:ascii="Simplified Arabic" w:cs="Simplified Arabic" w:hAnsi="Simplified Arabic"/>
          <w:sz w:val="28"/>
          <w:szCs w:val="28"/>
          <w:rtl/>
        </w:rPr>
        <w:t xml:space="preserve"> لم يقف الباحث على ما يدل على صدور القواعد التي أحالت إليها المادة (206)، وقد أعلن البنك المركزي أنه لم يصدر أي ترخيص. فتحول الحظر المعلق على الترخيص إلى حظر فعلي. وتثير المادة (4) من قانون إنشاء المحاكم الاقتصادية مسألة تفسير في سند الاختصاص الجنائي، لأنها لا تزال، في النص المجمّع المتاح، تذكر مسمى القانون الملغى («قانون البنك المركزي والجهاز المصرفي والنقد»).</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للمشرع القطري.</w:t>
      </w:r>
      <w:r>
        <w:rPr>
          <w:rFonts w:ascii="Simplified Arabic" w:cs="Simplified Arabic" w:hAnsi="Simplified Arabic"/>
          <w:sz w:val="28"/>
          <w:szCs w:val="28"/>
          <w:rtl/>
        </w:rPr>
        <w:t xml:space="preserve"> تحتاج قطر إلى أداة بمرتبة القانون تنظم العملات الرقمية خارج مركز قطر للمال، وتحدد الجهة المختصة، وتحسم مشروعية الحظر.</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للسلطة النقدية.</w:t>
      </w:r>
      <w:r>
        <w:rPr>
          <w:rFonts w:ascii="Simplified Arabic" w:cs="Simplified Arabic" w:hAnsi="Simplified Arabic"/>
          <w:sz w:val="28"/>
          <w:szCs w:val="28"/>
          <w:rtl/>
        </w:rPr>
        <w:t xml:space="preserve"> يقدر البحث أثر العملات المستقرة المقومة بالدولار في السيادة النقدية في اقتصادين مختلفين. الأول يربط عملته بالدولار (قطر). والثاني يقصر التعامل في النقد الأجنبي على البنوك والجهات المرخص لها (مصر، المادة 212 من القانون رقم 194 لسنة 2020).</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للإدارة الضريبية.</w:t>
      </w:r>
      <w:r>
        <w:rPr>
          <w:rFonts w:ascii="Simplified Arabic" w:cs="Simplified Arabic" w:hAnsi="Simplified Arabic"/>
          <w:sz w:val="28"/>
          <w:szCs w:val="28"/>
          <w:rtl/>
        </w:rPr>
        <w:t xml:space="preserve"> يعالج البحث المعاملة الضريبية للدخول المتحققة من العملات الرقمية، وموقف البلدين من منظومات الشفافية الضريبية الدولية.</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للقاضي والمتعاملين.</w:t>
      </w:r>
      <w:r>
        <w:rPr>
          <w:rFonts w:ascii="Simplified Arabic" w:cs="Simplified Arabic" w:hAnsi="Simplified Arabic"/>
          <w:sz w:val="28"/>
          <w:szCs w:val="28"/>
          <w:rtl/>
        </w:rPr>
        <w:t xml:space="preserve"> آليات حماية العملاء ولجان فض المنازعات في المواد (218–223) من القانون رقم 194 لسنة 2020 مقصورة على «الجهات المرخص لها». فلا يبقى للمتضررين من المنصات غير المرخصة إلا القضاء العادي بقواعده الإجرائية التقليدية.</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الاتساق مع الإطار الدولي.</w:t>
      </w:r>
      <w:r>
        <w:rPr>
          <w:rFonts w:ascii="Simplified Arabic" w:cs="Simplified Arabic" w:hAnsi="Simplified Arabic"/>
          <w:sz w:val="28"/>
          <w:szCs w:val="28"/>
          <w:rtl/>
        </w:rPr>
        <w:t xml:space="preserve"> صدرت مرجعيات دولية مستقرة تحتاج إلى قراءة في ضوء التشريعين المصري والقطري، أهمها:</w:t>
      </w:r>
    </w:p>
    <w:p>
      <w:pPr>
        <w:pStyle w:val="ListParagraph"/>
        <w:numPr>
          <w:ilvl w:val="1"/>
          <w:numId w:val="2"/>
        </w:numPr>
        <w:bidi/>
        <w:spacing w:after="60" w:line="340"/>
        <w:jc w:val="both"/>
      </w:pPr>
      <w:r>
        <w:rPr>
          <w:rFonts w:ascii="Simplified Arabic" w:cs="Simplified Arabic" w:hAnsi="Simplified Arabic"/>
          <w:sz w:val="28"/>
          <w:szCs w:val="28"/>
          <w:rtl/>
        </w:rPr>
        <w:t xml:space="preserve">عناصر صندوق النقد الدولي التسعة للسياسات الفعالة تجاه الأصول المشفرة (2023).</w:t>
      </w:r>
    </w:p>
    <w:p>
      <w:pPr>
        <w:pStyle w:val="ListParagraph"/>
        <w:numPr>
          <w:ilvl w:val="1"/>
          <w:numId w:val="2"/>
        </w:numPr>
        <w:bidi/>
        <w:spacing w:after="60" w:line="340"/>
        <w:jc w:val="both"/>
      </w:pPr>
      <w:r>
        <w:rPr>
          <w:rFonts w:ascii="Simplified Arabic" w:cs="Simplified Arabic" w:hAnsi="Simplified Arabic"/>
          <w:sz w:val="28"/>
          <w:szCs w:val="28"/>
          <w:rtl/>
        </w:rPr>
        <w:t xml:space="preserve">الإطار التنظيمي العالمي لمجلس الاستقرار المالي (2023).</w:t>
      </w:r>
    </w:p>
    <w:p>
      <w:pPr>
        <w:pStyle w:val="ListParagraph"/>
        <w:numPr>
          <w:ilvl w:val="1"/>
          <w:numId w:val="2"/>
        </w:numPr>
        <w:bidi/>
        <w:spacing w:after="60" w:line="340"/>
        <w:jc w:val="both"/>
      </w:pPr>
      <w:r>
        <w:rPr>
          <w:rFonts w:ascii="Simplified Arabic" w:cs="Simplified Arabic" w:hAnsi="Simplified Arabic"/>
          <w:sz w:val="28"/>
          <w:szCs w:val="28"/>
          <w:rtl/>
        </w:rPr>
        <w:t xml:space="preserve">تقرير بنك التسويات الدولية الاقتصادي السنوي (2025).</w:t>
      </w:r>
    </w:p>
    <w:p>
      <w:pPr>
        <w:pStyle w:val="ListParagraph"/>
        <w:numPr>
          <w:ilvl w:val="1"/>
          <w:numId w:val="2"/>
        </w:numPr>
        <w:bidi/>
        <w:spacing w:after="60" w:line="340"/>
        <w:jc w:val="both"/>
      </w:pPr>
      <w:r>
        <w:rPr>
          <w:rFonts w:ascii="Simplified Arabic" w:cs="Simplified Arabic" w:hAnsi="Simplified Arabic"/>
          <w:sz w:val="28"/>
          <w:szCs w:val="28"/>
          <w:rtl/>
        </w:rPr>
        <w:t xml:space="preserve">معيار لجنة بازل الساري منذ 1 يناير 2026.</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ثالثًا: أسباب اختيار الموضوع</w:t>
      </w:r>
    </w:p>
    <w:p>
      <w:pPr>
        <w:bidi/>
        <w:spacing w:after="60" w:line="340"/>
        <w:ind w:start="360" w:hanging="360"/>
        <w:jc w:val="both"/>
      </w:pPr>
      <w:r>
        <w:rPr>
          <w:rFonts w:ascii="Simplified Arabic" w:cs="Simplified Arabic" w:hAnsi="Simplified Arabic"/>
          <w:sz w:val="28"/>
          <w:szCs w:val="28"/>
          <w:rtl/>
        </w:rPr>
        <w:t xml:space="preserve">1. اهتمام الباحث بالقانون المالي والاقتصادي، ورغبته في الجمع بين التحليل القانوني والتحليل الاقتصادي في دراسة واحدة تنتمي إلى تخصص المالية العامة.</w:t>
      </w:r>
    </w:p>
    <w:p>
      <w:pPr>
        <w:bidi/>
        <w:spacing w:after="60" w:line="340"/>
        <w:ind w:start="360" w:hanging="360"/>
        <w:jc w:val="both"/>
      </w:pPr>
      <w:r>
        <w:rPr>
          <w:rFonts w:ascii="Simplified Arabic" w:cs="Simplified Arabic" w:hAnsi="Simplified Arabic"/>
          <w:sz w:val="28"/>
          <w:szCs w:val="28"/>
          <w:rtl/>
        </w:rPr>
        <w:t xml:space="preserve">2. التباين الحاد بين النموذجين المصري والقطري، وهو تباين يجعلهما طرفين لمقارنة خصبة. فالنموذج المصري حظر معلق على ترخيص لم يصدر. والنموذج القطري حظر للعملات بأداة إدارية، تقابله إباحة لترميز الأصول في منطقة مالية لها نظام قانوني وقضائي مستقل.</w:t>
      </w:r>
    </w:p>
    <w:p>
      <w:pPr>
        <w:bidi/>
        <w:spacing w:after="60" w:line="340"/>
        <w:ind w:start="360" w:hanging="360"/>
        <w:jc w:val="both"/>
      </w:pPr>
      <w:r>
        <w:rPr>
          <w:rFonts w:ascii="Simplified Arabic" w:cs="Simplified Arabic" w:hAnsi="Simplified Arabic"/>
          <w:sz w:val="28"/>
          <w:szCs w:val="28"/>
          <w:rtl/>
        </w:rPr>
        <w:t xml:space="preserve">3. إمكان الوصول إلى مصادر النظامين، ومنها الأعمال التحضيرية لإطار الأصول الرقمية في مركز قطر للمال، وهي مادة لم تتناولها الدراسات السابقة.</w:t>
      </w:r>
    </w:p>
    <w:p>
      <w:pPr>
        <w:bidi/>
        <w:spacing w:after="60" w:line="340"/>
        <w:ind w:start="360" w:hanging="360"/>
        <w:jc w:val="both"/>
      </w:pPr>
      <w:r>
        <w:rPr>
          <w:rFonts w:ascii="Simplified Arabic" w:cs="Simplified Arabic" w:hAnsi="Simplified Arabic"/>
          <w:sz w:val="28"/>
          <w:szCs w:val="28"/>
          <w:rtl/>
        </w:rPr>
        <w:t xml:space="preserve">4. غلبة المعالجة الجنائية على الدراسات العربية السابقة، وقلة الدراسات التي تتناول الآثار النقدية والمالية العامة والحماية القضائية معًا.</w:t>
      </w:r>
    </w:p>
    <w:p>
      <w:pPr>
        <w:bidi/>
        <w:spacing w:after="60" w:line="340"/>
        <w:ind w:start="360" w:hanging="360"/>
        <w:jc w:val="both"/>
      </w:pPr>
      <w:r>
        <w:rPr>
          <w:rFonts w:ascii="Simplified Arabic" w:cs="Simplified Arabic" w:hAnsi="Simplified Arabic"/>
          <w:sz w:val="28"/>
          <w:szCs w:val="28"/>
          <w:rtl/>
        </w:rPr>
        <w:t xml:space="preserve">5. الحاجة إلى نصوص تشريعية مقترحة محددة الصياغة، تستفيد من التجارب المقارنة دون أن تنقل عنها نقلًا حرفيًا.</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رابعًا: إشكالية البحث</w:t>
      </w:r>
    </w:p>
    <w:p>
      <w:pPr>
        <w:bidi/>
        <w:spacing w:after="120" w:line="360"/>
        <w:jc w:val="both"/>
      </w:pPr>
      <w:r>
        <w:rPr>
          <w:rFonts w:ascii="Simplified Arabic" w:cs="Simplified Arabic" w:hAnsi="Simplified Arabic"/>
          <w:sz w:val="28"/>
          <w:szCs w:val="28"/>
          <w:rtl/>
        </w:rPr>
        <w:t xml:space="preserve">تدور إشكالية البحث حول سؤال رئيس واحد:</w:t>
      </w:r>
    </w:p>
    <w:p>
      <w:pPr>
        <w:shd w:fill="F2F2F2" w:color="auto" w:val="clear"/>
        <w:bidi/>
        <w:spacing w:after="80"/>
        <w:ind w:start="567" w:end="567"/>
        <w:jc w:val="both"/>
      </w:pPr>
      <w:r>
        <w:rPr>
          <w:rFonts w:ascii="Simplified Arabic" w:cs="Simplified Arabic" w:hAnsi="Simplified Arabic"/>
          <w:b/>
          <w:bCs/>
          <w:sz w:val="26"/>
          <w:szCs w:val="26"/>
          <w:rtl/>
        </w:rPr>
        <w:t xml:space="preserve">هل يكفي الإطار القانوني والقضائي القائم في مصر وقطر لمواجهة العملات الرقمية على نحو يحمي السيادة النقدية والاستقرار المالي والإيرادات العامة، ويكفل في الوقت ذاته حماية قضائية فعالة لحقوق المتعاملين؟</w:t>
      </w:r>
    </w:p>
    <w:p>
      <w:pPr>
        <w:bidi/>
        <w:spacing w:after="120" w:line="360"/>
        <w:jc w:val="both"/>
      </w:pPr>
      <w:r>
        <w:rPr>
          <w:rFonts w:ascii="Simplified Arabic" w:cs="Simplified Arabic" w:hAnsi="Simplified Arabic"/>
          <w:sz w:val="28"/>
          <w:szCs w:val="28"/>
          <w:rtl/>
        </w:rPr>
        <w:t xml:space="preserve">وتُقاس «الكفاية» بالمعايير المعلنة في البند (6) من منهج البحث. وتتفرع الإشكالية إلى ثلاثة محاور:</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محور التكييف.</w:t>
      </w:r>
    </w:p>
    <w:p>
      <w:pPr>
        <w:pStyle w:val="ListParagraph"/>
        <w:numPr>
          <w:ilvl w:val="1"/>
          <w:numId w:val="2"/>
        </w:numPr>
        <w:bidi/>
        <w:spacing w:after="60" w:line="340"/>
        <w:jc w:val="both"/>
      </w:pPr>
      <w:r>
        <w:rPr>
          <w:rFonts w:ascii="Simplified Arabic" w:cs="Simplified Arabic" w:hAnsi="Simplified Arabic"/>
          <w:sz w:val="28"/>
          <w:szCs w:val="28"/>
          <w:rtl/>
        </w:rPr>
        <w:t xml:space="preserve">في مصر يحظر المشرع التعامل في العملات المشفرة ويعاقب عليه (المادتان 206 و225). ومع ذلك يعد قانون مكافحة غسل الأموال الأصول الافتراضية من «الأموال». لكن هذا التعريف وُضع لأغراض التجريم والمصادرة، ولا يُنقل إلى القانون المدني دون تعليل.</w:t>
      </w:r>
    </w:p>
    <w:p>
      <w:pPr>
        <w:pStyle w:val="ListParagraph"/>
        <w:numPr>
          <w:ilvl w:val="1"/>
          <w:numId w:val="2"/>
        </w:numPr>
        <w:bidi/>
        <w:spacing w:after="60" w:line="340"/>
        <w:jc w:val="both"/>
      </w:pPr>
      <w:r>
        <w:rPr>
          <w:rFonts w:ascii="Simplified Arabic" w:cs="Simplified Arabic" w:hAnsi="Simplified Arabic"/>
          <w:sz w:val="28"/>
          <w:szCs w:val="28"/>
          <w:rtl/>
        </w:rPr>
        <w:t xml:space="preserve">وفي قطر أباحت لائحة مركز قطر للمال ترميز الأصول، واستبعدت كل رمز يُعد بديلًا عن العملة. وتقر الأعمال التحضيرية بأنه «لا يوجد نظام للملكية العقارية أو المنقولة في مركز قطر للمال».</w:t>
      </w:r>
    </w:p>
    <w:p>
      <w:pPr>
        <w:pStyle w:val="ListParagraph"/>
        <w:numPr>
          <w:ilvl w:val="1"/>
          <w:numId w:val="2"/>
        </w:numPr>
        <w:bidi/>
        <w:spacing w:after="60" w:line="340"/>
        <w:jc w:val="both"/>
      </w:pPr>
      <w:r>
        <w:rPr>
          <w:rFonts w:ascii="Simplified Arabic" w:cs="Simplified Arabic" w:hAnsi="Simplified Arabic"/>
          <w:sz w:val="28"/>
          <w:szCs w:val="28"/>
          <w:rtl/>
        </w:rPr>
        <w:t xml:space="preserve">فالسؤال: ما المركز القانوني للعملة الرقمية؟ هل هي مال محمي مقيد التداول، أم شيء خارج عن دائرة التعامل بحكم القانون؟ وهل الاعتراف بها مالًا يجعلها نقدًا؟</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محور الأداة.</w:t>
      </w:r>
    </w:p>
    <w:p>
      <w:pPr>
        <w:pStyle w:val="ListParagraph"/>
        <w:numPr>
          <w:ilvl w:val="1"/>
          <w:numId w:val="2"/>
        </w:numPr>
        <w:bidi/>
        <w:spacing w:after="60" w:line="340"/>
        <w:jc w:val="both"/>
      </w:pPr>
      <w:r>
        <w:rPr>
          <w:rFonts w:ascii="Simplified Arabic" w:cs="Simplified Arabic" w:hAnsi="Simplified Arabic"/>
          <w:sz w:val="28"/>
          <w:szCs w:val="28"/>
          <w:rtl/>
        </w:rPr>
        <w:t xml:space="preserve">في مصر تحول الحظر المعلق على الترخيص إلى حظر فعلي، لأن قواعد الترخيص لم تصدر.</w:t>
      </w:r>
    </w:p>
    <w:p>
      <w:pPr>
        <w:pStyle w:val="ListParagraph"/>
        <w:numPr>
          <w:ilvl w:val="1"/>
          <w:numId w:val="2"/>
        </w:numPr>
        <w:bidi/>
        <w:spacing w:after="60" w:line="340"/>
        <w:jc w:val="both"/>
      </w:pPr>
      <w:r>
        <w:rPr>
          <w:rFonts w:ascii="Simplified Arabic" w:cs="Simplified Arabic" w:hAnsi="Simplified Arabic"/>
          <w:sz w:val="28"/>
          <w:szCs w:val="28"/>
          <w:rtl/>
        </w:rPr>
        <w:t xml:space="preserve">وفي قطر قام حظر العملات على تعاميم إدارية لم يُنشر نصها الرسمي، ونُظمت ملكية الرموز بلائحة وزارية. وهذه اللائحة تستبعد، بالقدر الذي يسمح به قانون المركز، قوانين الدولة في المسائل التي تنظمها (المادة 2(3)).</w:t>
      </w:r>
    </w:p>
    <w:p>
      <w:pPr>
        <w:pStyle w:val="ListParagraph"/>
        <w:numPr>
          <w:ilvl w:val="1"/>
          <w:numId w:val="2"/>
        </w:numPr>
        <w:bidi/>
        <w:spacing w:after="60" w:line="340"/>
        <w:jc w:val="both"/>
      </w:pPr>
      <w:r>
        <w:rPr>
          <w:rFonts w:ascii="Simplified Arabic" w:cs="Simplified Arabic" w:hAnsi="Simplified Arabic"/>
          <w:sz w:val="28"/>
          <w:szCs w:val="28"/>
          <w:rtl/>
        </w:rPr>
        <w:t xml:space="preserve">يحدث ذلك في ظل نصوص دستورية تحجز للقانون مسائل جوهرية. في قطر: المواد (27) و(40) و(43) و(135). وفي مصر: المواد (35) و(38) و(95).</w:t>
      </w:r>
    </w:p>
    <w:p>
      <w:pPr>
        <w:pStyle w:val="ListParagraph"/>
        <w:numPr>
          <w:ilvl w:val="1"/>
          <w:numId w:val="2"/>
        </w:numPr>
        <w:bidi/>
        <w:spacing w:after="60" w:line="340"/>
        <w:jc w:val="both"/>
      </w:pPr>
      <w:r>
        <w:rPr>
          <w:rFonts w:ascii="Simplified Arabic" w:cs="Simplified Arabic" w:hAnsi="Simplified Arabic"/>
          <w:sz w:val="28"/>
          <w:szCs w:val="28"/>
          <w:rtl/>
        </w:rPr>
        <w:t xml:space="preserve">فالسؤال: أي الأداتين أوفق بمبدأ الشرعية؟</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محور الحماية.</w:t>
      </w:r>
    </w:p>
    <w:p>
      <w:pPr>
        <w:pStyle w:val="ListParagraph"/>
        <w:numPr>
          <w:ilvl w:val="1"/>
          <w:numId w:val="2"/>
        </w:numPr>
        <w:bidi/>
        <w:spacing w:after="60" w:line="340"/>
        <w:jc w:val="both"/>
      </w:pPr>
      <w:r>
        <w:rPr>
          <w:rFonts w:ascii="Simplified Arabic" w:cs="Simplified Arabic" w:hAnsi="Simplified Arabic"/>
          <w:sz w:val="28"/>
          <w:szCs w:val="28"/>
          <w:rtl/>
        </w:rPr>
        <w:t xml:space="preserve">بنى القضاء المقارن أدوات متكاملة قبل أن يتدخل المشرع: الاعتراف بمالية الأصل الرقمي، والأوامر العينية، والتتبع، والتجميد العالمي.</w:t>
      </w:r>
    </w:p>
    <w:p>
      <w:pPr>
        <w:pStyle w:val="ListParagraph"/>
        <w:numPr>
          <w:ilvl w:val="1"/>
          <w:numId w:val="2"/>
        </w:numPr>
        <w:bidi/>
        <w:spacing w:after="60" w:line="340"/>
        <w:jc w:val="both"/>
      </w:pPr>
      <w:r>
        <w:rPr>
          <w:rFonts w:ascii="Simplified Arabic" w:cs="Simplified Arabic" w:hAnsi="Simplified Arabic"/>
          <w:sz w:val="28"/>
          <w:szCs w:val="28"/>
          <w:rtl/>
        </w:rPr>
        <w:t xml:space="preserve">أما في مصر فالمنشور من التطبيقات القضائية جنائي، ومصدره الصحافة. ولم يقف الباحث على حكم منشور لمحكمة التمييز القطرية أو لمحكمة مركز قطر للمال في هذه المنازعات.</w:t>
      </w:r>
    </w:p>
    <w:p>
      <w:pPr>
        <w:pStyle w:val="ListParagraph"/>
        <w:numPr>
          <w:ilvl w:val="1"/>
          <w:numId w:val="2"/>
        </w:numPr>
        <w:bidi/>
        <w:spacing w:after="60" w:line="340"/>
        <w:jc w:val="both"/>
      </w:pPr>
      <w:r>
        <w:rPr>
          <w:rFonts w:ascii="Simplified Arabic" w:cs="Simplified Arabic" w:hAnsi="Simplified Arabic"/>
          <w:sz w:val="28"/>
          <w:szCs w:val="28"/>
          <w:rtl/>
        </w:rPr>
        <w:t xml:space="preserve">وآليات الحماية الإدارية مقصورة على المرخص لهم، وتحريك الدعوى الجنائية معلق على طلب كتابي من محافظ البنك المركزي (المادة 238). فتصير الملاحقة نفسها أداة في يد السلطة النقدية.</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خامسًا: تساؤلات البحث</w:t>
      </w:r>
    </w:p>
    <w:p>
      <w:pPr>
        <w:bidi/>
        <w:spacing w:after="60" w:line="340"/>
        <w:ind w:start="360" w:hanging="360"/>
        <w:jc w:val="both"/>
      </w:pPr>
      <w:r>
        <w:rPr>
          <w:rFonts w:ascii="Simplified Arabic" w:cs="Simplified Arabic" w:hAnsi="Simplified Arabic"/>
          <w:sz w:val="28"/>
          <w:szCs w:val="28"/>
          <w:rtl/>
        </w:rPr>
        <w:t xml:space="preserve">1. إلى أي حد تستوفي العملات الرقمية الخاصة وظائف النقود ومعايير الوحدة والمرونة والنزاهة؟ وما الأساس النظري والدستوري والفقهي لانفراد الدولة بإصدار النقد؟</w:t>
      </w:r>
    </w:p>
    <w:p>
      <w:pPr>
        <w:bidi/>
        <w:spacing w:after="60" w:line="340"/>
        <w:ind w:start="360" w:hanging="360"/>
        <w:jc w:val="both"/>
      </w:pPr>
      <w:r>
        <w:rPr>
          <w:rFonts w:ascii="Simplified Arabic" w:cs="Simplified Arabic" w:hAnsi="Simplified Arabic"/>
          <w:sz w:val="28"/>
          <w:szCs w:val="28"/>
          <w:rtl/>
        </w:rPr>
        <w:t xml:space="preserve">2. ما التكييف القانوني الأدق للعملة الرقمية في القانونين المصري والقطري؟ وهل تصلح «السيطرة» (Control) ضابطًا لانتقال الحق عليها؟ وما أثر الحظر في صحة التصرفات الواردة عليها والالتزامات المقومة بها؟</w:t>
      </w:r>
    </w:p>
    <w:p>
      <w:pPr>
        <w:bidi/>
        <w:spacing w:after="60" w:line="340"/>
        <w:ind w:start="360" w:hanging="360"/>
        <w:jc w:val="both"/>
      </w:pPr>
      <w:r>
        <w:rPr>
          <w:rFonts w:ascii="Simplified Arabic" w:cs="Simplified Arabic" w:hAnsi="Simplified Arabic"/>
          <w:sz w:val="28"/>
          <w:szCs w:val="28"/>
          <w:rtl/>
        </w:rPr>
        <w:t xml:space="preserve">3. أي النماذج التنظيمية أنسب للاقتصادين المصري والقطري؟ وكيف تتوزع الاختصاصات الرقابية؟ وكيف تُضبط المخاطر النظامية ومخاطر غسل الأموال؟</w:t>
      </w:r>
    </w:p>
    <w:p>
      <w:pPr>
        <w:bidi/>
        <w:spacing w:after="60" w:line="340"/>
        <w:ind w:start="360" w:hanging="360"/>
        <w:jc w:val="both"/>
      </w:pPr>
      <w:r>
        <w:rPr>
          <w:rFonts w:ascii="Simplified Arabic" w:cs="Simplified Arabic" w:hAnsi="Simplified Arabic"/>
          <w:sz w:val="28"/>
          <w:szCs w:val="28"/>
          <w:rtl/>
        </w:rPr>
        <w:t xml:space="preserve">4. ما أثر العملات المستقرة المقومة بالدولار في السيادة النقدية في ظل الربط الثابت للريال القطري، وفي ظل القيود المصرية على التعامل في النقد الأجنبي؟ وهل تخضع لقواعد التعامل في النقد الأجنبي؟</w:t>
      </w:r>
    </w:p>
    <w:p>
      <w:pPr>
        <w:bidi/>
        <w:spacing w:after="60" w:line="340"/>
        <w:ind w:start="360" w:hanging="360"/>
        <w:jc w:val="both"/>
      </w:pPr>
      <w:r>
        <w:rPr>
          <w:rFonts w:ascii="Simplified Arabic" w:cs="Simplified Arabic" w:hAnsi="Simplified Arabic"/>
          <w:sz w:val="28"/>
          <w:szCs w:val="28"/>
          <w:rtl/>
        </w:rPr>
        <w:t xml:space="preserve">5. كيف تُعامَل الدخول المتحققة من العملات الرقمية ضريبيًا في ظل مبدأ قانونية الضريبة؟ وما أثر هذه العملات في الإيرادات العامة وفي الأصول العامة؟</w:t>
      </w:r>
    </w:p>
    <w:p>
      <w:pPr>
        <w:bidi/>
        <w:spacing w:after="60" w:line="340"/>
        <w:ind w:start="360" w:hanging="360"/>
        <w:jc w:val="both"/>
      </w:pPr>
      <w:r>
        <w:rPr>
          <w:rFonts w:ascii="Simplified Arabic" w:cs="Simplified Arabic" w:hAnsi="Simplified Arabic"/>
          <w:sz w:val="28"/>
          <w:szCs w:val="28"/>
          <w:rtl/>
        </w:rPr>
        <w:t xml:space="preserve">6. هل تمثل العملة الرقمية للبنك المركزي بديلًا سياديًا؟ وما الفرق في ذلك بين عملة الجملة وعملة التجزئة؟ وما أساس إصدارها في البلدين؟</w:t>
      </w:r>
    </w:p>
    <w:p>
      <w:pPr>
        <w:bidi/>
        <w:spacing w:after="60" w:line="340"/>
        <w:ind w:start="360" w:hanging="360"/>
        <w:jc w:val="both"/>
      </w:pPr>
      <w:r>
        <w:rPr>
          <w:rFonts w:ascii="Simplified Arabic" w:cs="Simplified Arabic" w:hAnsi="Simplified Arabic"/>
          <w:sz w:val="28"/>
          <w:szCs w:val="28"/>
          <w:rtl/>
        </w:rPr>
        <w:t xml:space="preserve">7. ما الجهة القضائية المختصة بمنازعات العملات الرقمية في البلدين؟ وما مدى مشروعية أدوات التنظيم في ميزان الرقابة القضائية؟ وما موقع التحكيم؟ وما ضوابط الاختصاص الدولي والقانون الواجب التطبيق؟</w:t>
      </w:r>
    </w:p>
    <w:p>
      <w:pPr>
        <w:bidi/>
        <w:spacing w:after="60" w:line="340"/>
        <w:ind w:start="360" w:hanging="360"/>
        <w:jc w:val="both"/>
      </w:pPr>
      <w:r>
        <w:rPr>
          <w:rFonts w:ascii="Simplified Arabic" w:cs="Simplified Arabic" w:hAnsi="Simplified Arabic"/>
          <w:sz w:val="28"/>
          <w:szCs w:val="28"/>
          <w:rtl/>
        </w:rPr>
        <w:t xml:space="preserve">8. هل تكفي القواعد الإجرائية العامة لتوفير الحماية الوقتية والإثبات والتنفيذ على الأصول الرقمية، ولحماية أصول العملاء عند إعسار مقدم الخدمة؟</w:t>
      </w:r>
    </w:p>
    <w:p>
      <w:pPr>
        <w:bidi/>
        <w:spacing w:after="60" w:line="340"/>
        <w:ind w:start="360" w:hanging="360"/>
        <w:jc w:val="both"/>
      </w:pPr>
      <w:r>
        <w:rPr>
          <w:rFonts w:ascii="Simplified Arabic" w:cs="Simplified Arabic" w:hAnsi="Simplified Arabic"/>
          <w:sz w:val="28"/>
          <w:szCs w:val="28"/>
          <w:rtl/>
        </w:rPr>
        <w:t xml:space="preserve">9. كيف طبق القضاء قواعد المسؤولية الجنائية والمدنية في منازعات العملات الرقمية؟ وما الذي يمكن نقله من الاجتهاد المقارن إلى النظامين المصري والقطري؟</w:t>
      </w:r>
    </w:p>
    <w:p>
      <w:pPr>
        <w:bidi/>
        <w:spacing w:after="120" w:line="360"/>
        <w:jc w:val="both"/>
      </w:pPr>
      <w:r>
        <w:rPr>
          <w:rFonts w:ascii="Simplified Arabic" w:cs="Simplified Arabic" w:hAnsi="Simplified Arabic"/>
          <w:b/>
          <w:bCs/>
          <w:sz w:val="28"/>
          <w:szCs w:val="28"/>
          <w:rtl/>
        </w:rPr>
        <w:t xml:space="preserve">جدول ربط التساؤلات بالتقسيم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التساؤل</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موضع الإجابة عنه</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الأول، المبحث الأول</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الأول، المبحث الثاني</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3</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الثاني، المبحثان الأول والثالث</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4</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الثاني، المبحث الثاني</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5</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الثالث، المبحثان الأول والثاني</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6</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الأول، الفصل الثالث، المبحث الثالث</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7</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الثاني، الفصل الأول</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8</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الثاني، الفصل الثاني</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9</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الباب الثاني، الفصل الثالث</w:t>
            </w:r>
          </w:p>
        </w:tc>
      </w:tr>
    </w:tbl>
    <w:p>
      <w:pPr>
        <w:bidi/>
      </w:pP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سادسًا: أهداف البحث</w:t>
      </w:r>
    </w:p>
    <w:p>
      <w:pPr>
        <w:bidi/>
        <w:spacing w:after="60" w:line="340"/>
        <w:ind w:start="360" w:hanging="360"/>
        <w:jc w:val="both"/>
      </w:pPr>
      <w:r>
        <w:rPr>
          <w:rFonts w:ascii="Simplified Arabic" w:cs="Simplified Arabic" w:hAnsi="Simplified Arabic"/>
          <w:sz w:val="28"/>
          <w:szCs w:val="28"/>
          <w:rtl/>
        </w:rPr>
        <w:t xml:space="preserve">1. ضبط مفهوم العملات الرقمية، وتمييز العملات الخاصة عن النقود الإلكترونية والعملة الرقمية للبنك المركزي والرموز الممثلة لأصول.</w:t>
      </w:r>
    </w:p>
    <w:p>
      <w:pPr>
        <w:bidi/>
        <w:spacing w:after="60" w:line="340"/>
        <w:ind w:start="360" w:hanging="360"/>
        <w:jc w:val="both"/>
      </w:pPr>
      <w:r>
        <w:rPr>
          <w:rFonts w:ascii="Simplified Arabic" w:cs="Simplified Arabic" w:hAnsi="Simplified Arabic"/>
          <w:sz w:val="28"/>
          <w:szCs w:val="28"/>
          <w:rtl/>
        </w:rPr>
        <w:t xml:space="preserve">2. تحديد الطبيعة الاقتصادية للعملات الرقمية في ضوء النظرية النقدية والمرجعيات الدولية الحديثة.</w:t>
      </w:r>
    </w:p>
    <w:p>
      <w:pPr>
        <w:bidi/>
        <w:spacing w:after="60" w:line="340"/>
        <w:ind w:start="360" w:hanging="360"/>
        <w:jc w:val="both"/>
      </w:pPr>
      <w:r>
        <w:rPr>
          <w:rFonts w:ascii="Simplified Arabic" w:cs="Simplified Arabic" w:hAnsi="Simplified Arabic"/>
          <w:sz w:val="28"/>
          <w:szCs w:val="28"/>
          <w:rtl/>
        </w:rPr>
        <w:t xml:space="preserve">3. الوصول إلى تكييف قانوني منضبط للعملة الرقمية وللحقوق الواردة عليها.</w:t>
      </w:r>
    </w:p>
    <w:p>
      <w:pPr>
        <w:bidi/>
        <w:spacing w:after="60" w:line="340"/>
        <w:ind w:start="360" w:hanging="360"/>
        <w:jc w:val="both"/>
      </w:pPr>
      <w:r>
        <w:rPr>
          <w:rFonts w:ascii="Simplified Arabic" w:cs="Simplified Arabic" w:hAnsi="Simplified Arabic"/>
          <w:sz w:val="28"/>
          <w:szCs w:val="28"/>
          <w:rtl/>
        </w:rPr>
        <w:t xml:space="preserve">4. تقويم النماذج التنظيمية في مصر وقطر بمعايير معلنة، ومقارنتها بالنماذج الإماراتية والأوروبية والأمريكية.</w:t>
      </w:r>
    </w:p>
    <w:p>
      <w:pPr>
        <w:bidi/>
        <w:spacing w:after="60" w:line="340"/>
        <w:ind w:start="360" w:hanging="360"/>
        <w:jc w:val="both"/>
      </w:pPr>
      <w:r>
        <w:rPr>
          <w:rFonts w:ascii="Simplified Arabic" w:cs="Simplified Arabic" w:hAnsi="Simplified Arabic"/>
          <w:sz w:val="28"/>
          <w:szCs w:val="28"/>
          <w:rtl/>
        </w:rPr>
        <w:t xml:space="preserve">5. تحليل أثر العملات الرقمية، والمستقرة منها خاصة، في السيادة النقدية ونظام الصرف والاستقرار المالي في البلدين.</w:t>
      </w:r>
    </w:p>
    <w:p>
      <w:pPr>
        <w:bidi/>
        <w:spacing w:after="60" w:line="340"/>
        <w:ind w:start="360" w:hanging="360"/>
        <w:jc w:val="both"/>
      </w:pPr>
      <w:r>
        <w:rPr>
          <w:rFonts w:ascii="Simplified Arabic" w:cs="Simplified Arabic" w:hAnsi="Simplified Arabic"/>
          <w:sz w:val="28"/>
          <w:szCs w:val="28"/>
          <w:rtl/>
        </w:rPr>
        <w:t xml:space="preserve">6. تحليل الأبعاد المالية العامة للعملات الرقمية: المعاملة الضريبية، والإيرادات والأصول العامة، والعملة الرقمية للبنك المركزي.</w:t>
      </w:r>
    </w:p>
    <w:p>
      <w:pPr>
        <w:bidi/>
        <w:spacing w:after="60" w:line="340"/>
        <w:ind w:start="360" w:hanging="360"/>
        <w:jc w:val="both"/>
      </w:pPr>
      <w:r>
        <w:rPr>
          <w:rFonts w:ascii="Simplified Arabic" w:cs="Simplified Arabic" w:hAnsi="Simplified Arabic"/>
          <w:sz w:val="28"/>
          <w:szCs w:val="28"/>
          <w:rtl/>
        </w:rPr>
        <w:t xml:space="preserve">7. تحديد الجهة القضائية المختصة، وتقويم مشروعية أدوات التنظيم وكفاية الحماية الإجرائية، واستخلاص ما يصلح للنقل من الاجتهاد المقارن.</w:t>
      </w:r>
    </w:p>
    <w:p>
      <w:pPr>
        <w:bidi/>
        <w:spacing w:after="60" w:line="340"/>
        <w:ind w:start="360" w:hanging="360"/>
        <w:jc w:val="both"/>
      </w:pPr>
      <w:r>
        <w:rPr>
          <w:rFonts w:ascii="Simplified Arabic" w:cs="Simplified Arabic" w:hAnsi="Simplified Arabic"/>
          <w:sz w:val="28"/>
          <w:szCs w:val="28"/>
          <w:rtl/>
        </w:rPr>
        <w:t xml:space="preserve">8. صياغة توصيات ونصوص تشريعية مقترحة محددة.</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سابعًا: فرضيات البحث</w:t>
      </w:r>
    </w:p>
    <w:p>
      <w:pPr>
        <w:bidi/>
        <w:spacing w:after="120" w:line="360"/>
        <w:jc w:val="both"/>
      </w:pPr>
      <w:r>
        <w:rPr>
          <w:rFonts w:ascii="Simplified Arabic" w:cs="Simplified Arabic" w:hAnsi="Simplified Arabic"/>
          <w:sz w:val="28"/>
          <w:szCs w:val="28"/>
          <w:rtl/>
        </w:rPr>
        <w:t xml:space="preserve">ينطلق البحث من فرضيات يختبرها في المواضع المبينة قرين كل منها:</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الفرضية الأولى (اقتصادية):</w:t>
      </w:r>
      <w:r>
        <w:rPr>
          <w:rFonts w:ascii="Simplified Arabic" w:cs="Simplified Arabic" w:hAnsi="Simplified Arabic"/>
          <w:sz w:val="28"/>
          <w:szCs w:val="28"/>
          <w:rtl/>
        </w:rPr>
        <w:t xml:space="preserve"> لا تستوفي العملات المشفرة اللامركزية والعملات المستقرة الخاصة، في وضعها الراهن، الوظائف الاقتصادية للنقود، ولا معايير الوحدة والمرونة والنزاهة. فلا تصلح أساسًا لنظام نقدي، وإن أدت بعض وظائف النقود أداءً جزئيًا.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الأول، الفصل الأول، المبحث الأول. </w:t>
      </w:r>
      <w:r>
        <w:rPr>
          <w:rFonts w:ascii="Simplified Arabic" w:cs="Simplified Arabic" w:hAnsi="Simplified Arabic"/>
          <w:i/>
          <w:iCs/>
          <w:sz w:val="28"/>
          <w:szCs w:val="28"/>
          <w:rtl/>
        </w:rPr>
        <w:t xml:space="preserve">طريقه:</w:t>
      </w:r>
      <w:r>
        <w:rPr>
          <w:rFonts w:ascii="Simplified Arabic" w:cs="Simplified Arabic" w:hAnsi="Simplified Arabic"/>
          <w:sz w:val="28"/>
          <w:szCs w:val="28"/>
          <w:rtl/>
        </w:rPr>
        <w:t xml:space="preserve"> تحليل وظائف النقود، وتطبيق معايير بنك التسويات الدولية.</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الفرضية الثانية (قانونية):</w:t>
      </w:r>
      <w:r>
        <w:rPr>
          <w:rFonts w:ascii="Simplified Arabic" w:cs="Simplified Arabic" w:hAnsi="Simplified Arabic"/>
          <w:sz w:val="28"/>
          <w:szCs w:val="28"/>
          <w:rtl/>
        </w:rPr>
        <w:t xml:space="preserve"> انتفاء وصف النقد عن العملة الرقمية لا ينفي صلاحيتها محلًا للحقوق المالية. والحظر التنظيمي يقيد التعامل فيها، لكنه لا يخرجها من دائرة الأموال.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الأول، الفصل الأول، المبحث الثاني. </w:t>
      </w:r>
      <w:r>
        <w:rPr>
          <w:rFonts w:ascii="Simplified Arabic" w:cs="Simplified Arabic" w:hAnsi="Simplified Arabic"/>
          <w:i/>
          <w:iCs/>
          <w:sz w:val="28"/>
          <w:szCs w:val="28"/>
          <w:rtl/>
        </w:rPr>
        <w:t xml:space="preserve">طريقه:</w:t>
      </w:r>
      <w:r>
        <w:rPr>
          <w:rFonts w:ascii="Simplified Arabic" w:cs="Simplified Arabic" w:hAnsi="Simplified Arabic"/>
          <w:sz w:val="28"/>
          <w:szCs w:val="28"/>
          <w:rtl/>
        </w:rPr>
        <w:t xml:space="preserve"> تحليل المادة (81) من القانون المدني المصري ونظائرها، والاتجاهات المقارنة، مع موازنة الحجة المعارضة المستمدة من الطابع الوظيفي لتعريف الأموال في قانون مكافحة غسل الأموال.</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الفرضية الثالثة (تنظيمية):</w:t>
      </w:r>
      <w:r>
        <w:rPr>
          <w:rFonts w:ascii="Simplified Arabic" w:cs="Simplified Arabic" w:hAnsi="Simplified Arabic"/>
          <w:sz w:val="28"/>
          <w:szCs w:val="28"/>
          <w:rtl/>
        </w:rPr>
        <w:t xml:space="preserve"> الحظر المعلق على ترخيص لم تصدر قواعده، والحظر القائم على تعاميم إدارية، ينتهيان إلى حظر فعلي يُخرج المتعاملين من آليات الحماية والانتصاف المقصورة على المرخص لهم.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الأول، الفصل الثاني، المبحث الأول؛ والباب الثاني، الفصل الأول، المبحث الثالث. </w:t>
      </w:r>
      <w:r>
        <w:rPr>
          <w:rFonts w:ascii="Simplified Arabic" w:cs="Simplified Arabic" w:hAnsi="Simplified Arabic"/>
          <w:i/>
          <w:iCs/>
          <w:sz w:val="28"/>
          <w:szCs w:val="28"/>
          <w:rtl/>
        </w:rPr>
        <w:t xml:space="preserve">طريقه:</w:t>
      </w:r>
      <w:r>
        <w:rPr>
          <w:rFonts w:ascii="Simplified Arabic" w:cs="Simplified Arabic" w:hAnsi="Simplified Arabic"/>
          <w:sz w:val="28"/>
          <w:szCs w:val="28"/>
          <w:rtl/>
        </w:rPr>
        <w:t xml:space="preserve"> تحليل نطاق المواد (218–223) من القانون رقم 194 لسنة 2020، والبيانات الرسمية للسلطات النقدية. وأي حكم يتعلق بحجم النشاط الخارج عن الرقابة يُبنى على تقديرات منشورة تُبيَّن مصادرها وحدودها.</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الفرضية الرابعة (نقدية):</w:t>
      </w:r>
      <w:r>
        <w:rPr>
          <w:rFonts w:ascii="Simplified Arabic" w:cs="Simplified Arabic" w:hAnsi="Simplified Arabic"/>
          <w:sz w:val="28"/>
          <w:szCs w:val="28"/>
          <w:rtl/>
        </w:rPr>
        <w:t xml:space="preserve"> خطر إحلال العملات المستقرة المقومة بالدولار محل العملة الوطنية أشد أثرًا في اقتصاد يقيد التعامل في النقد الأجنبي ولا يربط عملته ربطًا ثابتًا، منه في اقتصاد ذي ربط ثابت موثوق. ففي الحالة الثانية يتصل الخطر أساسًا بكفاية احتياطيات الربط وبتدفقات رأس المال.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الأول، الفصل الثاني، المبحث الثاني. </w:t>
      </w:r>
      <w:r>
        <w:rPr>
          <w:rFonts w:ascii="Simplified Arabic" w:cs="Simplified Arabic" w:hAnsi="Simplified Arabic"/>
          <w:i/>
          <w:iCs/>
          <w:sz w:val="28"/>
          <w:szCs w:val="28"/>
          <w:rtl/>
        </w:rPr>
        <w:t xml:space="preserve">طريقه:</w:t>
      </w:r>
      <w:r>
        <w:rPr>
          <w:rFonts w:ascii="Simplified Arabic" w:cs="Simplified Arabic" w:hAnsi="Simplified Arabic"/>
          <w:sz w:val="28"/>
          <w:szCs w:val="28"/>
          <w:rtl/>
        </w:rPr>
        <w:t xml:space="preserve"> مقارنة نظامي الصرف في ضوء تقارير مشاورات المادة الرابعة لصندوق النقد الدولي وإحصاءات البنكين المركزيين، وتحليل الباب الخامس من القانون رقم 194 لسنة 2020.</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الفرضية الخامسة (ضريبية):</w:t>
      </w:r>
      <w:r>
        <w:rPr>
          <w:rFonts w:ascii="Simplified Arabic" w:cs="Simplified Arabic" w:hAnsi="Simplified Arabic"/>
          <w:sz w:val="28"/>
          <w:szCs w:val="28"/>
          <w:rtl/>
        </w:rPr>
        <w:t xml:space="preserve"> مبدأ قانونية الضريبة لا يحول دون إخضاع الدخل المتحقق من التعامل في العملات الرقمية للضريبة متى اندرج في وعاء قائم، ولو كان النشاط ذاته محظورًا. غير أن غياب معالجة صريحة يخل باليقين القانوني الذي يقتضيه العنصر الثالث من عناصر صندوق النقد الدولي (2023).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الأول، الفصل الثالث، المبحث الأول.</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الفرضية السادسة (دستورية):</w:t>
      </w:r>
      <w:r>
        <w:rPr>
          <w:rFonts w:ascii="Simplified Arabic" w:cs="Simplified Arabic" w:hAnsi="Simplified Arabic"/>
          <w:sz w:val="28"/>
          <w:szCs w:val="28"/>
          <w:rtl/>
        </w:rPr>
        <w:t xml:space="preserve"> تحديد السلوك المجرَّم بأداة إدارية يثير في قطر شبهة دستورية أقوى منها في مصر.</w:t>
      </w:r>
    </w:p>
    <w:p>
      <w:pPr>
        <w:pStyle w:val="ListParagraph"/>
        <w:numPr>
          <w:ilvl w:val="1"/>
          <w:numId w:val="2"/>
        </w:numPr>
        <w:bidi/>
        <w:spacing w:after="60" w:line="340"/>
        <w:jc w:val="both"/>
      </w:pPr>
      <w:r>
        <w:rPr>
          <w:rFonts w:ascii="Simplified Arabic" w:cs="Simplified Arabic" w:hAnsi="Simplified Arabic"/>
          <w:sz w:val="28"/>
          <w:szCs w:val="28"/>
          <w:rtl/>
        </w:rPr>
        <w:t xml:space="preserve">ففي قطر تقضي المادة (40) بأنه «لا جريمة ولا عقوبة إلا بقانون».</w:t>
      </w:r>
    </w:p>
    <w:p>
      <w:pPr>
        <w:pStyle w:val="ListParagraph"/>
        <w:numPr>
          <w:ilvl w:val="1"/>
          <w:numId w:val="2"/>
        </w:numPr>
        <w:bidi/>
        <w:spacing w:after="60" w:line="340"/>
        <w:jc w:val="both"/>
      </w:pPr>
      <w:r>
        <w:rPr>
          <w:rFonts w:ascii="Simplified Arabic" w:cs="Simplified Arabic" w:hAnsi="Simplified Arabic"/>
          <w:sz w:val="28"/>
          <w:szCs w:val="28"/>
          <w:rtl/>
        </w:rPr>
        <w:t xml:space="preserve">أما في مصر فصيغة «بناء على قانون» في المادة (95) تتسع لإحالة شروط الترخيص إلى السلطة التنظيمية، ما دامت الجريمة والعقوبة مقررتين في القانون ذاته. ولذلك ينتقل البحث في مصر إلى حدود السلطة التنظيمية للبنك المركزي المستقل وإلى تناسب الحظر الفعلي.</w:t>
      </w:r>
    </w:p>
    <w:p>
      <w:pPr>
        <w:bidi/>
        <w:spacing w:after="120" w:line="360"/>
        <w:jc w:val="both"/>
      </w:pP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الثاني، الفصل الأول، المبحث الثاني.</w:t>
      </w:r>
    </w:p>
    <w:p>
      <w:pPr>
        <w:bidi/>
        <w:spacing w:after="60" w:line="340"/>
        <w:ind w:start="360" w:hanging="360"/>
        <w:jc w:val="both"/>
      </w:pPr>
      <w:r>
        <w:rPr>
          <w:rFonts w:ascii="Simplified Arabic" w:cs="Simplified Arabic" w:hAnsi="Simplified Arabic"/>
          <w:sz w:val="28"/>
          <w:szCs w:val="28"/>
          <w:rtl/>
        </w:rPr>
        <w:t xml:space="preserve">7. </w:t>
      </w:r>
      <w:r>
        <w:rPr>
          <w:rFonts w:ascii="Simplified Arabic" w:cs="Simplified Arabic" w:hAnsi="Simplified Arabic"/>
          <w:b/>
          <w:bCs/>
          <w:sz w:val="28"/>
          <w:szCs w:val="28"/>
          <w:rtl/>
        </w:rPr>
        <w:t xml:space="preserve">الفرضية السابعة (قضائية):</w:t>
      </w:r>
      <w:r>
        <w:rPr>
          <w:rFonts w:ascii="Simplified Arabic" w:cs="Simplified Arabic" w:hAnsi="Simplified Arabic"/>
          <w:sz w:val="28"/>
          <w:szCs w:val="28"/>
          <w:rtl/>
        </w:rPr>
        <w:t xml:space="preserve"> القواعد القائمة في البلدين لا تكفي، سواء في تحديد الجهة المختصة أو في الحماية الوقتية والتنفيذ على أصول لامركزية عابرة للحدود. وهذا يستلزم تقرير سلطات علاجية خاصة للقاضي، على غرار المادتين (16) و(17) من لائحة الأصول الرقمية لمركز قطر للمال. </w:t>
      </w:r>
      <w:r>
        <w:rPr>
          <w:rFonts w:ascii="Simplified Arabic" w:cs="Simplified Arabic" w:hAnsi="Simplified Arabic"/>
          <w:i/>
          <w:iCs/>
          <w:sz w:val="28"/>
          <w:szCs w:val="28"/>
          <w:rtl/>
        </w:rPr>
        <w:t xml:space="preserve">موضع الاختبار:</w:t>
      </w:r>
      <w:r>
        <w:rPr>
          <w:rFonts w:ascii="Simplified Arabic" w:cs="Simplified Arabic" w:hAnsi="Simplified Arabic"/>
          <w:sz w:val="28"/>
          <w:szCs w:val="28"/>
          <w:rtl/>
        </w:rPr>
        <w:t xml:space="preserve"> الباب الثاني، الفصلان الأول والثاني.</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ثامنًا: منهج البحث</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المنهج التحليلي:</w:t>
      </w:r>
      <w:r>
        <w:rPr>
          <w:rFonts w:ascii="Simplified Arabic" w:cs="Simplified Arabic" w:hAnsi="Simplified Arabic"/>
          <w:sz w:val="28"/>
          <w:szCs w:val="28"/>
          <w:rtl/>
        </w:rPr>
        <w:t xml:space="preserve"> لنصوص الدساتير والتشريعات واللوائح والتعاميم والأعمال التحضيرية، ولا سيما ورقة التشاور الصادرة عن مركز قطر للمال CP 2023/03.</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المنهج المقارن:</w:t>
      </w:r>
    </w:p>
    <w:p>
      <w:pPr>
        <w:pStyle w:val="ListParagraph"/>
        <w:numPr>
          <w:ilvl w:val="1"/>
          <w:numId w:val="2"/>
        </w:numPr>
        <w:bidi/>
        <w:spacing w:after="60" w:line="340"/>
        <w:jc w:val="both"/>
      </w:pPr>
      <w:r>
        <w:rPr>
          <w:rFonts w:ascii="Simplified Arabic" w:cs="Simplified Arabic" w:hAnsi="Simplified Arabic"/>
          <w:b/>
          <w:bCs/>
          <w:sz w:val="28"/>
          <w:szCs w:val="28"/>
          <w:rtl/>
        </w:rPr>
        <w:t xml:space="preserve">محور المقارنة:</w:t>
      </w:r>
      <w:r>
        <w:rPr>
          <w:rFonts w:ascii="Simplified Arabic" w:cs="Simplified Arabic" w:hAnsi="Simplified Arabic"/>
          <w:sz w:val="28"/>
          <w:szCs w:val="28"/>
          <w:rtl/>
        </w:rPr>
        <w:t xml:space="preserve"> القانون المصري والقانون القطري، بشقيه: النظام العام للدولة ونظام مركز قطر للمال.</w:t>
      </w:r>
    </w:p>
    <w:p>
      <w:pPr>
        <w:pStyle w:val="ListParagraph"/>
        <w:numPr>
          <w:ilvl w:val="1"/>
          <w:numId w:val="2"/>
        </w:numPr>
        <w:bidi/>
        <w:spacing w:after="60" w:line="340"/>
        <w:jc w:val="both"/>
      </w:pPr>
      <w:r>
        <w:rPr>
          <w:rFonts w:ascii="Simplified Arabic" w:cs="Simplified Arabic" w:hAnsi="Simplified Arabic"/>
          <w:b/>
          <w:bCs/>
          <w:sz w:val="28"/>
          <w:szCs w:val="28"/>
          <w:rtl/>
        </w:rPr>
        <w:t xml:space="preserve">الأنظمة المرجعية ومعيار اختيارها:</w:t>
      </w:r>
    </w:p>
    <w:p>
      <w:pPr>
        <w:pStyle w:val="ListParagraph"/>
        <w:numPr>
          <w:ilvl w:val="2"/>
          <w:numId w:val="2"/>
        </w:numPr>
        <w:bidi/>
        <w:spacing w:after="60" w:line="340"/>
        <w:jc w:val="both"/>
      </w:pPr>
      <w:r>
        <w:rPr>
          <w:rFonts w:ascii="Simplified Arabic" w:cs="Simplified Arabic" w:hAnsi="Simplified Arabic"/>
          <w:sz w:val="28"/>
          <w:szCs w:val="28"/>
          <w:rtl/>
        </w:rPr>
        <w:t xml:space="preserve">الإمارات: النموذج الخليجي للترخيص متعدد المستويات.</w:t>
      </w:r>
    </w:p>
    <w:p>
      <w:pPr>
        <w:pStyle w:val="ListParagraph"/>
        <w:numPr>
          <w:ilvl w:val="2"/>
          <w:numId w:val="2"/>
        </w:numPr>
        <w:bidi/>
        <w:spacing w:after="60" w:line="340"/>
        <w:jc w:val="both"/>
      </w:pPr>
      <w:r>
        <w:rPr>
          <w:rFonts w:ascii="Simplified Arabic" w:cs="Simplified Arabic" w:hAnsi="Simplified Arabic"/>
          <w:sz w:val="28"/>
          <w:szCs w:val="28"/>
          <w:rtl/>
        </w:rPr>
        <w:t xml:space="preserve">الاتحاد الأوروبي: النموذج الشامل الموحد.</w:t>
      </w:r>
    </w:p>
    <w:p>
      <w:pPr>
        <w:pStyle w:val="ListParagraph"/>
        <w:numPr>
          <w:ilvl w:val="2"/>
          <w:numId w:val="2"/>
        </w:numPr>
        <w:bidi/>
        <w:spacing w:after="60" w:line="340"/>
        <w:jc w:val="both"/>
      </w:pPr>
      <w:r>
        <w:rPr>
          <w:rFonts w:ascii="Simplified Arabic" w:cs="Simplified Arabic" w:hAnsi="Simplified Arabic"/>
          <w:sz w:val="28"/>
          <w:szCs w:val="28"/>
          <w:rtl/>
        </w:rPr>
        <w:t xml:space="preserve">الولايات المتحدة: مُصدِرة العملة التي تُقوَّم بها أغلب العملات المستقرة، وصاحبة أول قانون اتحادي لعملات الدفع المستقرة.</w:t>
      </w:r>
    </w:p>
    <w:p>
      <w:pPr>
        <w:bidi/>
        <w:spacing w:after="120" w:line="360"/>
        <w:jc w:val="both"/>
      </w:pPr>
      <w:r>
        <w:rPr>
          <w:rFonts w:ascii="Simplified Arabic" w:cs="Simplified Arabic" w:hAnsi="Simplified Arabic"/>
          <w:sz w:val="28"/>
          <w:szCs w:val="28"/>
          <w:rtl/>
        </w:rPr>
        <w:t xml:space="preserve">فمعيار الاختيار نقدي ومالي، لا مجرد وفرة الأحكام.</w:t>
      </w:r>
    </w:p>
    <w:p>
      <w:pPr>
        <w:pStyle w:val="ListParagraph"/>
        <w:numPr>
          <w:ilvl w:val="1"/>
          <w:numId w:val="2"/>
        </w:numPr>
        <w:bidi/>
        <w:spacing w:after="60" w:line="340"/>
        <w:jc w:val="both"/>
      </w:pPr>
      <w:r>
        <w:rPr>
          <w:rFonts w:ascii="Simplified Arabic" w:cs="Simplified Arabic" w:hAnsi="Simplified Arabic"/>
          <w:b/>
          <w:bCs/>
          <w:sz w:val="28"/>
          <w:szCs w:val="28"/>
          <w:rtl/>
        </w:rPr>
        <w:t xml:space="preserve">ما يُستأنس به:</w:t>
      </w:r>
      <w:r>
        <w:rPr>
          <w:rFonts w:ascii="Simplified Arabic" w:cs="Simplified Arabic" w:hAnsi="Simplified Arabic"/>
          <w:sz w:val="28"/>
          <w:szCs w:val="28"/>
          <w:rtl/>
        </w:rPr>
        <w:t xml:space="preserve"> في الشق القضائي يُستأنس بقضاء المملكة المتحدة وسنغافورة، وبأحكام بعينها من فرنسا ونيوزيلندا ومحكمة العدل الأوروبية حيث تقتضيها مسألة محددة. ويُشار في جدول تصنيفي واحد إلى نموذج الحظر الشامل (الصين)، ونموذج الاعتراف بالعملة المشفرة عملةً قانونية ثم التحول إلى القبول الطوعي (السلفادور).</w:t>
      </w:r>
    </w:p>
    <w:p>
      <w:pPr>
        <w:pStyle w:val="ListParagraph"/>
        <w:numPr>
          <w:ilvl w:val="1"/>
          <w:numId w:val="2"/>
        </w:numPr>
        <w:bidi/>
        <w:spacing w:after="60" w:line="340"/>
        <w:jc w:val="both"/>
      </w:pPr>
      <w:r>
        <w:rPr>
          <w:rFonts w:ascii="Simplified Arabic" w:cs="Simplified Arabic" w:hAnsi="Simplified Arabic"/>
          <w:b/>
          <w:bCs/>
          <w:sz w:val="28"/>
          <w:szCs w:val="28"/>
          <w:rtl/>
        </w:rPr>
        <w:t xml:space="preserve">طريقة المقارنة:</w:t>
      </w:r>
      <w:r>
        <w:rPr>
          <w:rFonts w:ascii="Simplified Arabic" w:cs="Simplified Arabic" w:hAnsi="Simplified Arabic"/>
          <w:sz w:val="28"/>
          <w:szCs w:val="28"/>
          <w:rtl/>
        </w:rPr>
        <w:t xml:space="preserve"> موضوعية أفقية، تُعرض فيها كل مسألة في الأنظمة جميعًا، لا دولةً بعد دولة.</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المنهج التأصيلي:</w:t>
      </w:r>
      <w:r>
        <w:rPr>
          <w:rFonts w:ascii="Simplified Arabic" w:cs="Simplified Arabic" w:hAnsi="Simplified Arabic"/>
          <w:sz w:val="28"/>
          <w:szCs w:val="28"/>
          <w:rtl/>
        </w:rPr>
        <w:t xml:space="preserve"> يرد المسائل المستحدثة إلى القواعد العامة في القانون المدني، وإلى الفقه الإسلامي في حدود ما يتصل بتخصص البحث: علة الثمنية، وولاية إصدار النقد، والمال المتقوم. ويراعي البحث أن مجمع الفقه الإسلامي الدولي أرجأ في قراره رقم 230 (24/1) البت في العملات المرمزة، فلا يُنسب إليه حكم فيها. ويُستأنس بقراره رقم 231 (24/2) في أثر تغير قيمة العملة على الالتزامات.</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المنهج الاستقرائي:</w:t>
      </w:r>
      <w:r>
        <w:rPr>
          <w:rFonts w:ascii="Simplified Arabic" w:cs="Simplified Arabic" w:hAnsi="Simplified Arabic"/>
          <w:sz w:val="28"/>
          <w:szCs w:val="28"/>
          <w:rtl/>
        </w:rPr>
        <w:t xml:space="preserve"> لتتبع الأحكام القضائية واستخلاص المبادئ المشتركة منها، مع التمييز بين ما اطُّلع على نصه وما نُقل بالواسطة.</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التحليل الاقتصادي:</w:t>
      </w:r>
    </w:p>
    <w:p>
      <w:pPr>
        <w:pStyle w:val="ListParagraph"/>
        <w:numPr>
          <w:ilvl w:val="1"/>
          <w:numId w:val="2"/>
        </w:numPr>
        <w:bidi/>
        <w:spacing w:after="60" w:line="340"/>
        <w:jc w:val="both"/>
      </w:pPr>
      <w:r>
        <w:rPr>
          <w:rFonts w:ascii="Simplified Arabic" w:cs="Simplified Arabic" w:hAnsi="Simplified Arabic"/>
          <w:b/>
          <w:bCs/>
          <w:sz w:val="28"/>
          <w:szCs w:val="28"/>
          <w:rtl/>
        </w:rPr>
        <w:t xml:space="preserve">أدواته:</w:t>
      </w:r>
    </w:p>
    <w:p>
      <w:pPr>
        <w:pStyle w:val="ListParagraph"/>
        <w:numPr>
          <w:ilvl w:val="2"/>
          <w:numId w:val="2"/>
        </w:numPr>
        <w:bidi/>
        <w:spacing w:after="60" w:line="340"/>
        <w:jc w:val="both"/>
      </w:pPr>
      <w:r>
        <w:rPr>
          <w:rFonts w:ascii="Simplified Arabic" w:cs="Simplified Arabic" w:hAnsi="Simplified Arabic"/>
          <w:sz w:val="28"/>
          <w:szCs w:val="28"/>
          <w:rtl/>
        </w:rPr>
        <w:t xml:space="preserve">تحليل وظائف النقود ومعايير بنك التسويات الدولية.</w:t>
      </w:r>
    </w:p>
    <w:p>
      <w:pPr>
        <w:pStyle w:val="ListParagraph"/>
        <w:numPr>
          <w:ilvl w:val="2"/>
          <w:numId w:val="2"/>
        </w:numPr>
        <w:bidi/>
        <w:spacing w:after="60" w:line="340"/>
        <w:jc w:val="both"/>
      </w:pPr>
      <w:r>
        <w:rPr>
          <w:rFonts w:ascii="Simplified Arabic" w:cs="Simplified Arabic" w:hAnsi="Simplified Arabic"/>
          <w:sz w:val="28"/>
          <w:szCs w:val="28"/>
          <w:rtl/>
        </w:rPr>
        <w:t xml:space="preserve">نظرية إحلال العملة (Currency Substitution).</w:t>
      </w:r>
    </w:p>
    <w:p>
      <w:pPr>
        <w:pStyle w:val="ListParagraph"/>
        <w:numPr>
          <w:ilvl w:val="2"/>
          <w:numId w:val="2"/>
        </w:numPr>
        <w:bidi/>
        <w:spacing w:after="60" w:line="340"/>
        <w:jc w:val="both"/>
      </w:pPr>
      <w:r>
        <w:rPr>
          <w:rFonts w:ascii="Simplified Arabic" w:cs="Simplified Arabic" w:hAnsi="Simplified Arabic"/>
          <w:sz w:val="28"/>
          <w:szCs w:val="28"/>
          <w:rtl/>
        </w:rPr>
        <w:t xml:space="preserve">عائد الإصدار (Seigniorage) وأثره في أرباح البنك المركزي المحولة إلى الخزانة.</w:t>
      </w:r>
    </w:p>
    <w:p>
      <w:pPr>
        <w:pStyle w:val="ListParagraph"/>
        <w:numPr>
          <w:ilvl w:val="2"/>
          <w:numId w:val="2"/>
        </w:numPr>
        <w:bidi/>
        <w:spacing w:after="60" w:line="340"/>
        <w:jc w:val="both"/>
      </w:pPr>
      <w:r>
        <w:rPr>
          <w:rFonts w:ascii="Simplified Arabic" w:cs="Simplified Arabic" w:hAnsi="Simplified Arabic"/>
          <w:sz w:val="28"/>
          <w:szCs w:val="28"/>
          <w:rtl/>
        </w:rPr>
        <w:t xml:space="preserve">تحليل نوعي للتكلفة والمنفعة في المفاضلة بين الحظر والترخيص.</w:t>
      </w:r>
    </w:p>
    <w:p>
      <w:pPr>
        <w:pStyle w:val="ListParagraph"/>
        <w:numPr>
          <w:ilvl w:val="1"/>
          <w:numId w:val="2"/>
        </w:numPr>
        <w:bidi/>
        <w:spacing w:after="60" w:line="340"/>
        <w:jc w:val="both"/>
      </w:pPr>
      <w:r>
        <w:rPr>
          <w:rFonts w:ascii="Simplified Arabic" w:cs="Simplified Arabic" w:hAnsi="Simplified Arabic"/>
          <w:b/>
          <w:bCs/>
          <w:sz w:val="28"/>
          <w:szCs w:val="28"/>
          <w:rtl/>
        </w:rPr>
        <w:t xml:space="preserve">مصادر بياناته:</w:t>
      </w:r>
    </w:p>
    <w:p>
      <w:pPr>
        <w:pStyle w:val="ListParagraph"/>
        <w:numPr>
          <w:ilvl w:val="2"/>
          <w:numId w:val="2"/>
        </w:numPr>
        <w:bidi/>
        <w:spacing w:after="60" w:line="340"/>
        <w:jc w:val="both"/>
      </w:pPr>
      <w:r>
        <w:rPr>
          <w:rFonts w:ascii="Simplified Arabic" w:cs="Simplified Arabic" w:hAnsi="Simplified Arabic"/>
          <w:sz w:val="28"/>
          <w:szCs w:val="28"/>
          <w:rtl/>
        </w:rPr>
        <w:t xml:space="preserve">تقارير مشاورات المادة الرابعة لصندوق النقد الدولي عن البلدين.</w:t>
      </w:r>
    </w:p>
    <w:p>
      <w:pPr>
        <w:pStyle w:val="ListParagraph"/>
        <w:numPr>
          <w:ilvl w:val="2"/>
          <w:numId w:val="2"/>
        </w:numPr>
        <w:bidi/>
        <w:spacing w:after="60" w:line="340"/>
        <w:jc w:val="both"/>
      </w:pPr>
      <w:r>
        <w:rPr>
          <w:rFonts w:ascii="Simplified Arabic" w:cs="Simplified Arabic" w:hAnsi="Simplified Arabic"/>
          <w:sz w:val="28"/>
          <w:szCs w:val="28"/>
          <w:rtl/>
        </w:rPr>
        <w:t xml:space="preserve">الإحصاءات المنشورة للبنكين المركزيين.</w:t>
      </w:r>
    </w:p>
    <w:p>
      <w:pPr>
        <w:pStyle w:val="ListParagraph"/>
        <w:numPr>
          <w:ilvl w:val="2"/>
          <w:numId w:val="2"/>
        </w:numPr>
        <w:bidi/>
        <w:spacing w:after="60" w:line="340"/>
        <w:jc w:val="both"/>
      </w:pPr>
      <w:r>
        <w:rPr>
          <w:rFonts w:ascii="Simplified Arabic" w:cs="Simplified Arabic" w:hAnsi="Simplified Arabic"/>
          <w:sz w:val="28"/>
          <w:szCs w:val="28"/>
          <w:rtl/>
        </w:rPr>
        <w:t xml:space="preserve">التقديرات المنشورة لحجم التداول، مع بيان مصدرها وحدودها المنهجية.</w:t>
      </w:r>
    </w:p>
    <w:p>
      <w:pPr>
        <w:pStyle w:val="ListParagraph"/>
        <w:numPr>
          <w:ilvl w:val="1"/>
          <w:numId w:val="2"/>
        </w:numPr>
        <w:bidi/>
        <w:spacing w:after="60" w:line="340"/>
        <w:jc w:val="both"/>
      </w:pPr>
      <w:r>
        <w:rPr>
          <w:rFonts w:ascii="Simplified Arabic" w:cs="Simplified Arabic" w:hAnsi="Simplified Arabic"/>
          <w:b/>
          <w:bCs/>
          <w:sz w:val="28"/>
          <w:szCs w:val="28"/>
          <w:rtl/>
        </w:rPr>
        <w:t xml:space="preserve">طبيعته:</w:t>
      </w:r>
      <w:r>
        <w:rPr>
          <w:rFonts w:ascii="Simplified Arabic" w:cs="Simplified Arabic" w:hAnsi="Simplified Arabic"/>
          <w:sz w:val="28"/>
          <w:szCs w:val="28"/>
          <w:rtl/>
        </w:rPr>
        <w:t xml:space="preserve"> التحليل نوعي غير قياسي، ويصرح البحث بذلك.</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معايير التقويم:</w:t>
      </w:r>
      <w:r>
        <w:rPr>
          <w:rFonts w:ascii="Simplified Arabic" w:cs="Simplified Arabic" w:hAnsi="Simplified Arabic"/>
          <w:sz w:val="28"/>
          <w:szCs w:val="28"/>
          <w:rtl/>
        </w:rPr>
        <w:t xml:space="preserve"> يُقاس «كفاية» الإطار القائم بثلاث مرجعيات:</w:t>
      </w:r>
    </w:p>
    <w:p>
      <w:pPr>
        <w:pStyle w:val="ListParagraph"/>
        <w:numPr>
          <w:ilvl w:val="1"/>
          <w:numId w:val="2"/>
        </w:numPr>
        <w:bidi/>
        <w:spacing w:after="60" w:line="340"/>
        <w:jc w:val="both"/>
      </w:pPr>
      <w:r>
        <w:rPr>
          <w:rFonts w:ascii="Simplified Arabic" w:cs="Simplified Arabic" w:hAnsi="Simplified Arabic"/>
          <w:sz w:val="28"/>
          <w:szCs w:val="28"/>
          <w:rtl/>
        </w:rPr>
        <w:t xml:space="preserve">عناصر صندوق النقد الدولي التسعة (2023)، ولا سيما ثلاثة منها: حماية السيادة النقدية وعدم منح الأصول المشفرة صفة العملة القانونية، والإفصاح عن المخاطر المالية العامة مع معاملة ضريبية واضحة، واليقين القانوني.</w:t>
      </w:r>
    </w:p>
    <w:p>
      <w:pPr>
        <w:pStyle w:val="ListParagraph"/>
        <w:numPr>
          <w:ilvl w:val="1"/>
          <w:numId w:val="2"/>
        </w:numPr>
        <w:bidi/>
        <w:spacing w:after="60" w:line="340"/>
        <w:jc w:val="both"/>
      </w:pPr>
      <w:r>
        <w:rPr>
          <w:rFonts w:ascii="Simplified Arabic" w:cs="Simplified Arabic" w:hAnsi="Simplified Arabic"/>
          <w:sz w:val="28"/>
          <w:szCs w:val="28"/>
          <w:rtl/>
        </w:rPr>
        <w:t xml:space="preserve">مبدأ مجلس الاستقرار المالي: «النشاط ذاته والخطر ذاته والتنظيم ذاته».</w:t>
      </w:r>
    </w:p>
    <w:p>
      <w:pPr>
        <w:pStyle w:val="ListParagraph"/>
        <w:numPr>
          <w:ilvl w:val="1"/>
          <w:numId w:val="2"/>
        </w:numPr>
        <w:bidi/>
        <w:spacing w:after="60" w:line="340"/>
        <w:jc w:val="both"/>
      </w:pPr>
      <w:r>
        <w:rPr>
          <w:rFonts w:ascii="Simplified Arabic" w:cs="Simplified Arabic" w:hAnsi="Simplified Arabic"/>
          <w:sz w:val="28"/>
          <w:szCs w:val="28"/>
          <w:rtl/>
        </w:rPr>
        <w:t xml:space="preserve">مبدأ الشرعية الدستورية.</w:t>
      </w:r>
    </w:p>
    <w:p>
      <w:pPr>
        <w:bidi/>
        <w:spacing w:after="120" w:line="360"/>
        <w:jc w:val="both"/>
      </w:pPr>
      <w:r>
        <w:rPr>
          <w:rFonts w:ascii="Simplified Arabic" w:cs="Simplified Arabic" w:hAnsi="Simplified Arabic"/>
          <w:b/>
          <w:bCs/>
          <w:sz w:val="28"/>
          <w:szCs w:val="28"/>
          <w:rtl/>
        </w:rPr>
        <w:t xml:space="preserve">قاعدتان في العرض:</w:t>
      </w:r>
    </w:p>
    <w:p>
      <w:pPr>
        <w:pStyle w:val="ListParagraph"/>
        <w:numPr>
          <w:ilvl w:val="0"/>
          <w:numId w:val="2"/>
        </w:numPr>
        <w:bidi/>
        <w:spacing w:after="60" w:line="340"/>
        <w:jc w:val="both"/>
      </w:pPr>
      <w:r>
        <w:rPr>
          <w:rFonts w:ascii="Simplified Arabic" w:cs="Simplified Arabic" w:hAnsi="Simplified Arabic"/>
          <w:sz w:val="28"/>
          <w:szCs w:val="28"/>
          <w:rtl/>
        </w:rPr>
        <w:t xml:space="preserve">تُبحث كل مسألة في موضع واحد، ويُحال إليها في غيره.</w:t>
      </w:r>
    </w:p>
    <w:p>
      <w:pPr>
        <w:pStyle w:val="ListParagraph"/>
        <w:numPr>
          <w:ilvl w:val="0"/>
          <w:numId w:val="2"/>
        </w:numPr>
        <w:bidi/>
        <w:spacing w:after="60" w:line="340"/>
        <w:jc w:val="both"/>
      </w:pPr>
      <w:r>
        <w:rPr>
          <w:rFonts w:ascii="Simplified Arabic" w:cs="Simplified Arabic" w:hAnsi="Simplified Arabic"/>
          <w:sz w:val="28"/>
          <w:szCs w:val="28"/>
          <w:rtl/>
        </w:rPr>
        <w:t xml:space="preserve">يُختم كل فصل بخلاصة تقويمية تقيس نتائجه بميزان التوازن بين حق الدولة في الرقابة وحرية السوق.</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تاسعًا: نطاق البحث وحدوده</w:t>
      </w:r>
    </w:p>
    <w:p>
      <w:pPr>
        <w:pStyle w:val="Heading3"/>
        <w:keepNext/>
        <w:bidi/>
        <w:spacing w:after="120" w:before="240"/>
        <w:jc w:val="right"/>
      </w:pPr>
      <w:r>
        <w:rPr>
          <w:rFonts w:ascii="Simplified Arabic" w:cs="Simplified Arabic" w:hAnsi="Simplified Arabic"/>
          <w:b/>
          <w:bCs/>
          <w:color w:val="2E5597"/>
          <w:sz w:val="30"/>
          <w:szCs w:val="30"/>
          <w:rtl/>
        </w:rPr>
        <w:t xml:space="preserve">(أ) ضبط المصطلحات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المصطلح</w:t>
            </w:r>
          </w:p>
        </w:tc>
        <w:tc>
          <w:tcPr>
            <w:tcW w:type="dxa" w:w="300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المقصود به في البحث</w:t>
            </w:r>
          </w:p>
        </w:tc>
        <w:tc>
          <w:tcPr>
            <w:tcW w:type="dxa" w:w="30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سنده</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العملات الرقمية (المصطلح الجامع في العنوان)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مصطلح ذو مستويين. </w:t>
            </w:r>
            <w:r>
              <w:rPr>
                <w:rFonts w:ascii="Simplified Arabic" w:cs="Simplified Arabic" w:hAnsi="Simplified Arabic"/>
                <w:b/>
                <w:bCs/>
                <w:sz w:val="24"/>
                <w:szCs w:val="24"/>
                <w:rtl/>
              </w:rPr>
              <w:t xml:space="preserve">الأول:</w:t>
            </w:r>
            <w:r>
              <w:rPr>
                <w:rFonts w:ascii="Simplified Arabic" w:cs="Simplified Arabic" w:hAnsi="Simplified Arabic"/>
                <w:b w:val="false"/>
                <w:sz w:val="24"/>
                <w:szCs w:val="24"/>
                <w:rtl/>
              </w:rPr>
              <w:t xml:space="preserve"> العملات الرقمية الخاصة، وهي وحدات قيمة رقمية تقوم على التشفير والسجلات الموزعة ولا تصدرها سلطة نقدية رسمية، وتشمل العملات المشفرة والعملات المستقرة. وهي محل الدراسة. </w:t>
            </w:r>
            <w:r>
              <w:rPr>
                <w:rFonts w:ascii="Simplified Arabic" w:cs="Simplified Arabic" w:hAnsi="Simplified Arabic"/>
                <w:b/>
                <w:bCs/>
                <w:sz w:val="24"/>
                <w:szCs w:val="24"/>
                <w:rtl/>
              </w:rPr>
              <w:t xml:space="preserve">الثاني:</w:t>
            </w:r>
            <w:r>
              <w:rPr>
                <w:rFonts w:ascii="Simplified Arabic" w:cs="Simplified Arabic" w:hAnsi="Simplified Arabic"/>
                <w:b w:val="false"/>
                <w:sz w:val="24"/>
                <w:szCs w:val="24"/>
                <w:rtl/>
              </w:rPr>
              <w:t xml:space="preserve"> العملة الرقمية الرسمية التي يصدرها البنك المركزي، وتُدرس بديلًا سياديًا من زاوية السيادة النقدية. وقد اختير هذا اللفظ الجامع بدل «العملات المشفرة»، اللفظ الذي اعتمده المشرع المصري، لأنه يتسع للمستويين معًا</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اصطلاح البحث</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العملة المشفرة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«عملات مخزنة إلكترونياً غير مقومة بأي من العملات الصادرة عن سلطات إصدار النقد الرسمية، ويتم تداولها عبر شبكة الإنترنت»</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(1) من القانون المصري رقم 194 لسنة 2020</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العملة الافتراضية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لفظ استعمله البنك المركزي المصري في بياناته التحذيرية («العملات الافتراضية المشفرة») دون تعريف تشريعي، ويُعامل في البحث مرادفًا للعملة المشفرة</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بيان البنك المركزي المصري، 8 مارس 2023</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الأصل الافتراضي (مصر)</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«الأصول الافتراضية التي لها قيمة رقمية يمكن تداولها أو نقلها أو تحويلها رقمياً ويمكن استخدامها كأداة للدفع أو الاستثمار»</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(1/أ) من قانون مكافحة غسل الأموال المصري بعد تعديله بالقانون رقم 17 لسنة 2020</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الأصل الافتراضي (قطر)</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كل ذي قيمة يمثل بديلًا للعملة، ويمكن تداوله أو تحويله رقميًا، ويُستخدم للدفع أو الاستثمار، ويُستثنى منه العملات الورقية الرسمية. والتعريف مترجم عن نقل ثانوي إلى حين الحصول على النص الرسمي</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تعميم مصرف قطر المركزي رقم (46) لسنة 2019، بحسب نقل Al Tamimi &amp; Company (2022)</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الأصل الافتراضي (دبي)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«تمثيل رقمي للقيمة يمكن تداوله أو تحويله رقميًا أو استخدامه أداةً للتبادل أو الدفع أو لأغراض الاستثمار»</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(2) من قانون إمارة دبي رقم (4) لسنة 2022</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الأصل المشفر</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تمثيل رقمي لقيمة أو حق يمكن نقله وتخزينه إلكترونيًا بتقنية السجلات الموزعة أو تقنية مماثلة</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3(1)(5) من لائحة MiCA</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الأصل الرقمي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وحدة اعتبارية تنتجها برمجيات وبيانات شبكية، ولها وجود مستقل عن أي شخص أو نظام قانوني، ولا تقبل الاستنساخ</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القسم (8) من قانون الأصول الرقمية لمركز دبي المالي العالمي رقم (2) لسنة 2024</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الرمز (Token)</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وحدة بيانات إلكترونية فريدة مؤمَّنة بالتشفير، تمثل رقميًا حقوقًا على عقار أو منقول (ومنها الحقوق التعاقدية)، وتقبل الإصدار والنقل والحفظ بتقنية السجلات الموزعة</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(8) من لائحة الأصول الرقمية لمركز قطر للمال لسنة 2024</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العملة المستقرة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أصل مشفر يستهدف ثبات قيمته بالإحالة إلى عملة رسمية أو أكثر، أو إلى أصول أخرى. ومن صورها «عملة الدفع المستقرة»: أصل رقمي يُستخدم وسيلةً للدفع أو التسوية، ويلتزم مُصدره باسترداده بمبلغ نقدي ثابت</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3(1)(6) و(7) من لائحة MiCA؛ المادة 2(22) من قانون GENIUS</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النقود الإلكترونية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«قيمة نقدية مقومة بالجنيه المصري أو بإحدى العملات المصدرة من سلطات إصدار النقد الرسمية مستحقة على المرخص له بإصدارها، وتكون مخزنة إلكترونياً ومقبولة كوسيلة دفع»</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المادة (1) من القانون رقم 194 لسنة 2020</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العملة الرقمية للبنك المركزي (CBDC)</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عملة رسمية في صورة رقمية يصدرها البنك المركزي، وهي نوعان: عملة للجملة تُستعمل في التسوية بين المؤسسات المالية، وعملة للتجزئة يحوزها الأفراد</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اصطلاح البحث؛ وتجربة مصرف قطر المركزي للجملة (2024)</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التنظيم القانوني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مجموع القواعد الموضوعية التي تحدد الطبيعة القانونية للعملات الرقمية، وتنظم إصدارها والتعامل فيها والرقابة عليها، وما يترتب عليها من آثار نقدية وضريبية وجزائية</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اصطلاح البحث</w:t>
            </w:r>
          </w:p>
        </w:tc>
      </w:tr>
      <w:tr>
        <w:trPr>
          <w:tblHeader w:val="false"/>
        </w:trPr>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التنظيم القضائي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القواعد التي تنظم جهات الفصل في منازعات العملات الرقمية واختصاصها، وإجراءات الحماية الوقتية والإثبات والتنفيذ أمامها، والرقابة القضائية على أدوات تنظيمها، وما استقر عليه القضاء في التطبيق</w:t>
            </w:r>
          </w:p>
        </w:tc>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اصطلاح البحث</w:t>
            </w:r>
          </w:p>
        </w:tc>
      </w:tr>
    </w:tbl>
    <w:p>
      <w:pPr>
        <w:bidi/>
      </w:pPr>
    </w:p>
    <w:p>
      <w:pPr>
        <w:pStyle w:val="Heading3"/>
        <w:keepNext/>
        <w:bidi/>
        <w:spacing w:after="120" w:before="240"/>
        <w:jc w:val="right"/>
      </w:pPr>
      <w:r>
        <w:rPr>
          <w:rFonts w:ascii="Simplified Arabic" w:cs="Simplified Arabic" w:hAnsi="Simplified Arabic"/>
          <w:b/>
          <w:bCs/>
          <w:color w:val="2E5597"/>
          <w:sz w:val="30"/>
          <w:szCs w:val="30"/>
          <w:rtl/>
        </w:rPr>
        <w:t xml:space="preserve">(ب) النطاق الموضوعي</w:t>
      </w:r>
    </w:p>
    <w:p>
      <w:pPr>
        <w:bidi/>
        <w:spacing w:after="120" w:line="360"/>
        <w:jc w:val="both"/>
      </w:pPr>
      <w:r>
        <w:rPr>
          <w:rFonts w:ascii="Simplified Arabic" w:cs="Simplified Arabic" w:hAnsi="Simplified Arabic"/>
          <w:b/>
          <w:bCs/>
          <w:sz w:val="28"/>
          <w:szCs w:val="28"/>
          <w:rtl/>
        </w:rPr>
        <w:t xml:space="preserve">يدخل في نطاق البحث:</w:t>
      </w:r>
    </w:p>
    <w:p>
      <w:pPr>
        <w:pStyle w:val="ListParagraph"/>
        <w:numPr>
          <w:ilvl w:val="0"/>
          <w:numId w:val="2"/>
        </w:numPr>
        <w:bidi/>
        <w:spacing w:after="60" w:line="340"/>
        <w:jc w:val="both"/>
      </w:pPr>
      <w:r>
        <w:rPr>
          <w:rFonts w:ascii="Simplified Arabic" w:cs="Simplified Arabic" w:hAnsi="Simplified Arabic"/>
          <w:sz w:val="28"/>
          <w:szCs w:val="28"/>
          <w:rtl/>
        </w:rPr>
        <w:t xml:space="preserve">العملات المشفرة اللامركزية والعملات المستقرة، وهي محور البحث.</w:t>
      </w:r>
    </w:p>
    <w:p>
      <w:pPr>
        <w:pStyle w:val="ListParagraph"/>
        <w:numPr>
          <w:ilvl w:val="0"/>
          <w:numId w:val="2"/>
        </w:numPr>
        <w:bidi/>
        <w:spacing w:after="60" w:line="340"/>
        <w:jc w:val="both"/>
      </w:pPr>
      <w:r>
        <w:rPr>
          <w:rFonts w:ascii="Simplified Arabic" w:cs="Simplified Arabic" w:hAnsi="Simplified Arabic"/>
          <w:sz w:val="28"/>
          <w:szCs w:val="28"/>
          <w:rtl/>
        </w:rPr>
        <w:t xml:space="preserve">العملة الرقمية للبنك المركزي، في شقها النقدي والمالي العام بوصفها بديلًا سياديًا.</w:t>
      </w:r>
    </w:p>
    <w:p>
      <w:pPr>
        <w:pStyle w:val="ListParagraph"/>
        <w:numPr>
          <w:ilvl w:val="0"/>
          <w:numId w:val="2"/>
        </w:numPr>
        <w:bidi/>
        <w:spacing w:after="60" w:line="340"/>
        <w:jc w:val="both"/>
      </w:pPr>
      <w:r>
        <w:rPr>
          <w:rFonts w:ascii="Simplified Arabic" w:cs="Simplified Arabic" w:hAnsi="Simplified Arabic"/>
          <w:sz w:val="28"/>
          <w:szCs w:val="28"/>
          <w:rtl/>
        </w:rPr>
        <w:t xml:space="preserve">الرموز الممثلة لأصول، بوصفها نقيضًا تنظيميًا يكشف موقف المشرع من العملات. فهي لا تُدرس موضوعًا مستقلًا، وإنما بالقدر اللازم لفهم النموذج القطري.</w:t>
      </w:r>
    </w:p>
    <w:p>
      <w:pPr>
        <w:pStyle w:val="ListParagraph"/>
        <w:numPr>
          <w:ilvl w:val="0"/>
          <w:numId w:val="2"/>
        </w:numPr>
        <w:bidi/>
        <w:spacing w:after="60" w:line="340"/>
        <w:jc w:val="both"/>
      </w:pPr>
      <w:r>
        <w:rPr>
          <w:rFonts w:ascii="Simplified Arabic" w:cs="Simplified Arabic" w:hAnsi="Simplified Arabic"/>
          <w:sz w:val="28"/>
          <w:szCs w:val="28"/>
          <w:rtl/>
        </w:rPr>
        <w:t xml:space="preserve">الجوانب المدنية والإدارية والتنظيمية والجنائية والدولية الخاصة والقضائية والنقدية والضريبية.</w:t>
      </w:r>
    </w:p>
    <w:p>
      <w:pPr>
        <w:bidi/>
        <w:spacing w:after="120" w:line="360"/>
        <w:jc w:val="both"/>
      </w:pPr>
      <w:r>
        <w:rPr>
          <w:rFonts w:ascii="Simplified Arabic" w:cs="Simplified Arabic" w:hAnsi="Simplified Arabic"/>
          <w:b/>
          <w:bCs/>
          <w:sz w:val="28"/>
          <w:szCs w:val="28"/>
          <w:rtl/>
        </w:rPr>
        <w:t xml:space="preserve">يخرج من نطاق البحث:</w:t>
      </w:r>
    </w:p>
    <w:p>
      <w:pPr>
        <w:pStyle w:val="ListParagraph"/>
        <w:numPr>
          <w:ilvl w:val="0"/>
          <w:numId w:val="2"/>
        </w:numPr>
        <w:bidi/>
        <w:spacing w:after="60" w:line="340"/>
        <w:jc w:val="both"/>
      </w:pPr>
      <w:r>
        <w:rPr>
          <w:rFonts w:ascii="Simplified Arabic" w:cs="Simplified Arabic" w:hAnsi="Simplified Arabic"/>
          <w:sz w:val="28"/>
          <w:szCs w:val="28"/>
          <w:rtl/>
        </w:rPr>
        <w:t xml:space="preserve">النقود الإلكترونية المصرفية التقليدية، إلا بقدر التمييز. ويُنبَّه إلى أن قواعد «الترميز» التي أعلنها البنك المركزي المصري في مارس 2023 تخص ترميز بيانات بطاقات الدفع، ولا صلة لها بترميز الأصول.</w:t>
      </w:r>
    </w:p>
    <w:p>
      <w:pPr>
        <w:pStyle w:val="ListParagraph"/>
        <w:numPr>
          <w:ilvl w:val="0"/>
          <w:numId w:val="2"/>
        </w:numPr>
        <w:bidi/>
        <w:spacing w:after="60" w:line="340"/>
        <w:jc w:val="both"/>
      </w:pPr>
      <w:r>
        <w:rPr>
          <w:rFonts w:ascii="Simplified Arabic" w:cs="Simplified Arabic" w:hAnsi="Simplified Arabic"/>
          <w:sz w:val="28"/>
          <w:szCs w:val="28"/>
          <w:rtl/>
        </w:rPr>
        <w:t xml:space="preserve">الرموز غير القابلة للاستبدال (NFT) والرموز الخدمية، إلا فيما يتصل بالتكييف والإجراءات القضائية.</w:t>
      </w:r>
    </w:p>
    <w:p>
      <w:pPr>
        <w:pStyle w:val="ListParagraph"/>
        <w:numPr>
          <w:ilvl w:val="0"/>
          <w:numId w:val="2"/>
        </w:numPr>
        <w:bidi/>
        <w:spacing w:after="60" w:line="340"/>
        <w:jc w:val="both"/>
      </w:pPr>
      <w:r>
        <w:rPr>
          <w:rFonts w:ascii="Simplified Arabic" w:cs="Simplified Arabic" w:hAnsi="Simplified Arabic"/>
          <w:sz w:val="28"/>
          <w:szCs w:val="28"/>
          <w:rtl/>
        </w:rPr>
        <w:t xml:space="preserve">الأوراق المالية المرمزة، إلا للتمييز.</w:t>
      </w:r>
    </w:p>
    <w:p>
      <w:pPr>
        <w:pStyle w:val="ListParagraph"/>
        <w:numPr>
          <w:ilvl w:val="0"/>
          <w:numId w:val="2"/>
        </w:numPr>
        <w:bidi/>
        <w:spacing w:after="60" w:line="340"/>
        <w:jc w:val="both"/>
      </w:pPr>
      <w:r>
        <w:rPr>
          <w:rFonts w:ascii="Simplified Arabic" w:cs="Simplified Arabic" w:hAnsi="Simplified Arabic"/>
          <w:sz w:val="28"/>
          <w:szCs w:val="28"/>
          <w:rtl/>
        </w:rPr>
        <w:t xml:space="preserve">الجوانب التقنية البحتة، والجرائم المعلوماتية العامة. ويُعالج الشق الجنائي في مبحث واحد، بالقدر الذي يخدم التنظيم القانوني والقضائي.</w:t>
      </w:r>
    </w:p>
    <w:p>
      <w:pPr>
        <w:pStyle w:val="Heading3"/>
        <w:keepNext/>
        <w:bidi/>
        <w:spacing w:after="120" w:before="240"/>
        <w:jc w:val="right"/>
      </w:pPr>
      <w:r>
        <w:rPr>
          <w:rFonts w:ascii="Simplified Arabic" w:cs="Simplified Arabic" w:hAnsi="Simplified Arabic"/>
          <w:b/>
          <w:bCs/>
          <w:color w:val="2E5597"/>
          <w:sz w:val="30"/>
          <w:szCs w:val="30"/>
          <w:rtl/>
        </w:rPr>
        <w:t xml:space="preserve">(ج) النطاق المكاني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محور المقارنة:</w:t>
      </w:r>
      <w:r>
        <w:rPr>
          <w:rFonts w:ascii="Simplified Arabic" w:cs="Simplified Arabic" w:hAnsi="Simplified Arabic"/>
          <w:sz w:val="28"/>
          <w:szCs w:val="28"/>
          <w:rtl/>
        </w:rPr>
        <w:t xml:space="preserve"> جمهورية مصر العربية؛ ودولة قطر بنظاميها، النظام العام للدولة ونظام مركز قطر للمال.</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الأنظمة المرجعية:</w:t>
      </w:r>
      <w:r>
        <w:rPr>
          <w:rFonts w:ascii="Simplified Arabic" w:cs="Simplified Arabic" w:hAnsi="Simplified Arabic"/>
          <w:sz w:val="28"/>
          <w:szCs w:val="28"/>
          <w:rtl/>
        </w:rPr>
        <w:t xml:space="preserve"> الإمارات العربية المتحدة (المستوى الاتحادي، وإمارة دبي، ومركز دبي المالي العالمي)، والاتحاد الأوروبي، والولايات المتحدة الأمريكية.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الاستئناس:</w:t>
      </w:r>
      <w:r>
        <w:rPr>
          <w:rFonts w:ascii="Simplified Arabic" w:cs="Simplified Arabic" w:hAnsi="Simplified Arabic"/>
          <w:sz w:val="28"/>
          <w:szCs w:val="28"/>
          <w:rtl/>
        </w:rPr>
        <w:t xml:space="preserve"> على النحو المبين في البند (2) من منهج البحث.</w:t>
      </w:r>
    </w:p>
    <w:p>
      <w:pPr>
        <w:pStyle w:val="Heading3"/>
        <w:keepNext/>
        <w:bidi/>
        <w:spacing w:after="120" w:before="240"/>
        <w:jc w:val="right"/>
      </w:pPr>
      <w:r>
        <w:rPr>
          <w:rFonts w:ascii="Simplified Arabic" w:cs="Simplified Arabic" w:hAnsi="Simplified Arabic"/>
          <w:b/>
          <w:bCs/>
          <w:color w:val="2E5597"/>
          <w:sz w:val="30"/>
          <w:szCs w:val="30"/>
          <w:rtl/>
        </w:rPr>
        <w:t xml:space="preserve">(د) النطاق الزماني</w:t>
      </w:r>
    </w:p>
    <w:p>
      <w:pPr>
        <w:bidi/>
        <w:spacing w:after="120" w:line="360"/>
        <w:jc w:val="both"/>
      </w:pPr>
      <w:r>
        <w:rPr>
          <w:rFonts w:ascii="Simplified Arabic" w:cs="Simplified Arabic" w:hAnsi="Simplified Arabic"/>
          <w:sz w:val="28"/>
          <w:szCs w:val="28"/>
          <w:rtl/>
        </w:rPr>
        <w:t xml:space="preserve">يبدأ النطاق الزماني من أواخر 2017 ومطلع 2018. في هذه الفترة صدرت فتوى دار الإفتاء المصرية رقم 4205 بتاريخ 28 ديسمبر 2017، وتحذير البنك المركزي المصري في يناير 2018، وتعميم مصرف قطر المركزي في فبراير 2018. ويمتد النطاق حتى «تاريخ تجميد المادة العلمية» المحدد في الجدول الزمني. وما يصدر بعد هذا التاريخ من مستجدات يُرصد في ملحق خاص.</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عاشرًا: الدراسات السابقة</w:t>
      </w:r>
    </w:p>
    <w:p>
      <w:pPr>
        <w:pStyle w:val="Heading3"/>
        <w:keepNext/>
        <w:bidi/>
        <w:spacing w:after="120" w:before="240"/>
        <w:jc w:val="right"/>
      </w:pPr>
      <w:r>
        <w:rPr>
          <w:rFonts w:ascii="Simplified Arabic" w:cs="Simplified Arabic" w:hAnsi="Simplified Arabic"/>
          <w:b/>
          <w:bCs/>
          <w:color w:val="2E5597"/>
          <w:sz w:val="30"/>
          <w:szCs w:val="30"/>
          <w:rtl/>
        </w:rPr>
        <w:t xml:space="preserve">(أ) الدراسات الرئيسة</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سالي أحمد أحمد طلبه</w:t>
      </w:r>
      <w:r>
        <w:rPr>
          <w:rFonts w:ascii="Simplified Arabic" w:cs="Simplified Arabic" w:hAnsi="Simplified Arabic"/>
          <w:sz w:val="28"/>
          <w:szCs w:val="28"/>
          <w:rtl/>
        </w:rPr>
        <w:t xml:space="preserve">، «الأزمات المالية إدارتها ومواجهتها: دراسة تطبيقية للأزمة الاقتصادية العالمية لسنة 2008»، رسالة دكتوراه، قسم المالية العامة، كلية الحقوق، جامعة القاهرة، نوقشت في 29/4/2023، بإشراف أ.د. السيد طه بدوي. موضوعها إدارة الأزمات المالية بالتطبيق على أزمة 2008. والرسالة المقترحة تفيد من إطارها في الاستقرار المالي، وتضيف إليه دراسة مصدر مستحدث للمخاطر: أسواق العملات الرقمية وانهيارات منصاتها وعملاتها المستقرة.</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هاني البيلي</w:t>
      </w:r>
      <w:r>
        <w:rPr>
          <w:rFonts w:ascii="Simplified Arabic" w:cs="Simplified Arabic" w:hAnsi="Simplified Arabic"/>
          <w:sz w:val="28"/>
          <w:szCs w:val="28"/>
          <w:rtl/>
        </w:rPr>
        <w:t xml:space="preserve">، «العملات المشفرة ومستقبل البنوك المركزية»، رسالة ماجستير، كلية الحقوق، جامعة دمياط، نوقشت في 6/2/2022. فصولها ثلاثة: تطور النظام النقدي، وماهية العملات الرقمية، والعملات المشفرة والسياسة النقدية للبنوك المركزية. وهي أقرب الدراسات إلى البعد النقدي للبحث. لكن لا يظهر من فصولها أنها تتناول التنظيم القضائي، أو المقارنة القطرية، أو المعاملة الضريبية، أو التطورات التشريعية والقضائية اللاحقة على 2022.</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أحمد عبد العليم رزق العجمي</w:t>
      </w:r>
      <w:r>
        <w:rPr>
          <w:rFonts w:ascii="Simplified Arabic" w:cs="Simplified Arabic" w:hAnsi="Simplified Arabic"/>
          <w:sz w:val="28"/>
          <w:szCs w:val="28"/>
          <w:rtl/>
        </w:rPr>
        <w:t xml:space="preserve">، «التطورات التكنولوجية المعاصرة في نظم الدفع الإلكترونية وانعكاساتها على سلطات البنك المركزي»، رسالة دكتوراه، قسم المالية العامة والتشريع الضريبي، كلية الحقوق، جامعة حلوان، 2010. تشارك البحث المقترح زاوية السلطة النقدية، لكنها تسبق انتشار العملات المشفرة والإطار التشريعي الحالي.</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محمد هذال فراج محمد الزعبي</w:t>
      </w:r>
      <w:r>
        <w:rPr>
          <w:rFonts w:ascii="Simplified Arabic" w:cs="Simplified Arabic" w:hAnsi="Simplified Arabic"/>
          <w:sz w:val="28"/>
          <w:szCs w:val="28"/>
          <w:rtl/>
        </w:rPr>
        <w:t xml:space="preserve">، «المواجهة الجنائية لجرائم غسل الأموال عبر العملات الافتراضية المشفرة: البيتكوين نموذجاً» (دكتوراه، 2023)؛ و</w:t>
      </w:r>
      <w:r>
        <w:rPr>
          <w:rFonts w:ascii="Simplified Arabic" w:cs="Simplified Arabic" w:hAnsi="Simplified Arabic"/>
          <w:b/>
          <w:bCs/>
          <w:sz w:val="28"/>
          <w:szCs w:val="28"/>
          <w:rtl/>
        </w:rPr>
        <w:t xml:space="preserve">أكرم عبد العليم مشرف</w:t>
      </w:r>
      <w:r>
        <w:rPr>
          <w:rFonts w:ascii="Simplified Arabic" w:cs="Simplified Arabic" w:hAnsi="Simplified Arabic"/>
          <w:sz w:val="28"/>
          <w:szCs w:val="28"/>
          <w:rtl/>
        </w:rPr>
        <w:t xml:space="preserve">، «العملات الافتراضية المشفرة من منظور السياسة الجنائية» (دكتوراه، قسم القانون الجنائي، 2024). كلتاهما في كلية الحقوق بجامعة القاهرة، بإشراف أ.د. عمر محمد سالم، ومنظورهما جنائي. أما البحث المقترح فيقصر البعد الجنائي على ما يخدم التنظيم، ويجعل مركز ثقله نقديًا وماليًا.</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عبد الرحمن ممدوح حسن عبد الجواد الدش</w:t>
      </w:r>
      <w:r>
        <w:rPr>
          <w:rFonts w:ascii="Simplified Arabic" w:cs="Simplified Arabic" w:hAnsi="Simplified Arabic"/>
          <w:sz w:val="28"/>
          <w:szCs w:val="28"/>
          <w:rtl/>
        </w:rPr>
        <w:t xml:space="preserve">، «دور الجهات الرقابية بشأن أدوات الدفع الإلكترونية والحيلولة للحد من مخاطرها» (دكتوراه، قسم القانون التجاري، 2025)؛ و</w:t>
      </w:r>
      <w:r>
        <w:rPr>
          <w:rFonts w:ascii="Simplified Arabic" w:cs="Simplified Arabic" w:hAnsi="Simplified Arabic"/>
          <w:b/>
          <w:bCs/>
          <w:sz w:val="28"/>
          <w:szCs w:val="28"/>
          <w:rtl/>
        </w:rPr>
        <w:t xml:space="preserve">هبة الله أحمد سالم</w:t>
      </w:r>
      <w:r>
        <w:rPr>
          <w:rFonts w:ascii="Simplified Arabic" w:cs="Simplified Arabic" w:hAnsi="Simplified Arabic"/>
          <w:sz w:val="28"/>
          <w:szCs w:val="28"/>
          <w:rtl/>
        </w:rPr>
        <w:t xml:space="preserve">، «النقود الإلكترونية: دراسة في المفهوم، والتنظيم القانوني، والحماية» (دكتوراه، قسم القانون التجاري، 2014). كلتاهما في كلية الحقوق بجامعة القاهرة. الأولى تقارن بالمملكة المتحدة، ومن موضوعاتها المفهرسة العملات المشفرة والبلوك تشين. والثانية سابقة على القانون رقم 194 لسنة 2020. ومنظورهما تجاري رقابي يتعلق بأدوات الدفع.</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حسين السيد حسين</w:t>
      </w:r>
      <w:r>
        <w:rPr>
          <w:rFonts w:ascii="Simplified Arabic" w:cs="Simplified Arabic" w:hAnsi="Simplified Arabic"/>
          <w:sz w:val="28"/>
          <w:szCs w:val="28"/>
          <w:rtl/>
        </w:rPr>
        <w:t xml:space="preserve">، «العملات المشفرة (البلوك تشين) التحديات والمخاطر: دراسة المنازعات المصرفية بالمملكة العربية السعودية أنموذجاً»، مجلة القانون والاقتصاد، ملحق العدد 93، 2020. مصنف في فهرس الكلية ضمن المالية العامة والتشريع الضريبي. وموضوعه النظام السعودي، لا المقارنة المصرية القطرية.</w:t>
      </w:r>
    </w:p>
    <w:p>
      <w:pPr>
        <w:bidi/>
        <w:spacing w:after="60" w:line="340"/>
        <w:ind w:start="360" w:hanging="360"/>
        <w:jc w:val="both"/>
      </w:pPr>
      <w:r>
        <w:rPr>
          <w:rFonts w:ascii="Simplified Arabic" w:cs="Simplified Arabic" w:hAnsi="Simplified Arabic"/>
          <w:sz w:val="28"/>
          <w:szCs w:val="28"/>
          <w:rtl/>
        </w:rPr>
        <w:t xml:space="preserve">7. </w:t>
      </w:r>
      <w:r>
        <w:rPr>
          <w:rFonts w:ascii="Simplified Arabic" w:cs="Simplified Arabic" w:hAnsi="Simplified Arabic"/>
          <w:b/>
          <w:bCs/>
          <w:sz w:val="28"/>
          <w:szCs w:val="28"/>
          <w:rtl/>
        </w:rPr>
        <w:t xml:space="preserve">محمد مطلق عساف</w:t>
      </w:r>
      <w:r>
        <w:rPr>
          <w:rFonts w:ascii="Simplified Arabic" w:cs="Simplified Arabic" w:hAnsi="Simplified Arabic"/>
          <w:sz w:val="28"/>
          <w:szCs w:val="28"/>
          <w:rtl/>
        </w:rPr>
        <w:t xml:space="preserve">، «العملات المشفرة في ضوء مقاصد الشريعة الإسلامية» (2019). انتهى إلى أن العملات المشفرة لا تتوافر فيها شروط النقد الشرعي، لأنها تفتقد القبول العام ولا تصلح مقياسًا للقيمة ولا مستودعًا لها. وهذه النتيجة يختبرها البحث المقترح بأدوات النظرية النقدية الحديثة.</w:t>
      </w:r>
    </w:p>
    <w:p>
      <w:pPr>
        <w:bidi/>
        <w:spacing w:after="60" w:line="340"/>
        <w:ind w:start="360" w:hanging="360"/>
        <w:jc w:val="both"/>
      </w:pPr>
      <w:r>
        <w:rPr>
          <w:rFonts w:ascii="Simplified Arabic" w:cs="Simplified Arabic" w:hAnsi="Simplified Arabic"/>
          <w:sz w:val="28"/>
          <w:szCs w:val="28"/>
          <w:rtl/>
        </w:rPr>
        <w:t xml:space="preserve">8. </w:t>
      </w:r>
      <w:r>
        <w:rPr>
          <w:rFonts w:ascii="Simplified Arabic" w:cs="Simplified Arabic" w:hAnsi="Simplified Arabic"/>
          <w:b/>
          <w:bCs/>
          <w:sz w:val="28"/>
          <w:szCs w:val="28"/>
          <w:rtl/>
        </w:rPr>
        <w:t xml:space="preserve">هيثم فضل الله</w:t>
      </w:r>
      <w:r>
        <w:rPr>
          <w:rFonts w:ascii="Simplified Arabic" w:cs="Simplified Arabic" w:hAnsi="Simplified Arabic"/>
          <w:sz w:val="28"/>
          <w:szCs w:val="28"/>
          <w:rtl/>
        </w:rPr>
        <w:t xml:space="preserve">، «الإطار التقني والقانوني للعروض الأولية للعملة الرقمية المشفرة» (2023). اتبع المنهج الوصفي التحليلي، وانتهى إلى ثلاثة اتجاهات لتنظيم الطرح الأولي للعملات.</w:t>
      </w:r>
    </w:p>
    <w:p>
      <w:pPr>
        <w:bidi/>
        <w:spacing w:after="60" w:line="340"/>
        <w:ind w:start="360" w:hanging="360"/>
        <w:jc w:val="both"/>
      </w:pPr>
      <w:r>
        <w:rPr>
          <w:rFonts w:ascii="Simplified Arabic" w:cs="Simplified Arabic" w:hAnsi="Simplified Arabic"/>
          <w:sz w:val="28"/>
          <w:szCs w:val="28"/>
          <w:rtl/>
        </w:rPr>
        <w:t xml:space="preserve">9. </w:t>
      </w:r>
      <w:r>
        <w:rPr>
          <w:rFonts w:ascii="Simplified Arabic" w:cs="Simplified Arabic" w:hAnsi="Simplified Arabic"/>
          <w:b/>
          <w:bCs/>
          <w:sz w:val="28"/>
          <w:szCs w:val="28"/>
          <w:rtl/>
        </w:rPr>
        <w:t xml:space="preserve">رسائل جامعة قطر:</w:t>
      </w:r>
    </w:p>
    <w:p>
      <w:pPr>
        <w:pStyle w:val="ListParagraph"/>
        <w:numPr>
          <w:ilvl w:val="1"/>
          <w:numId w:val="2"/>
        </w:numPr>
        <w:bidi/>
        <w:spacing w:after="60" w:line="340"/>
        <w:jc w:val="both"/>
      </w:pPr>
      <w:r>
        <w:rPr>
          <w:rFonts w:ascii="Simplified Arabic" w:cs="Simplified Arabic" w:hAnsi="Simplified Arabic"/>
          <w:sz w:val="28"/>
          <w:szCs w:val="28"/>
          <w:rtl/>
        </w:rPr>
        <w:t xml:space="preserve">علي راشد العجمي (ماجستير، 2025): المسؤولية الجنائية عن غسل الأموال باستخدام العملات الافتراضية.</w:t>
      </w:r>
    </w:p>
    <w:p>
      <w:pPr>
        <w:pStyle w:val="ListParagraph"/>
        <w:numPr>
          <w:ilvl w:val="1"/>
          <w:numId w:val="2"/>
        </w:numPr>
        <w:bidi/>
        <w:spacing w:after="60" w:line="340"/>
        <w:jc w:val="both"/>
      </w:pPr>
      <w:r>
        <w:rPr>
          <w:rFonts w:ascii="Simplified Arabic" w:cs="Simplified Arabic" w:hAnsi="Simplified Arabic"/>
          <w:sz w:val="28"/>
          <w:szCs w:val="28"/>
          <w:rtl/>
        </w:rPr>
        <w:t xml:space="preserve">محمد متعب محمد آل حباب الهاجري (ماجستير، 2026): غسل الأموال عبر الوسائط الإلكترونية، مقارنةً بالنموذج السنغافوري وفي ضوء توصيات مجموعة العمل المالي، ومن موضوعاتها حجية الأدلة الرقمية.</w:t>
      </w:r>
    </w:p>
    <w:p>
      <w:pPr>
        <w:pStyle w:val="ListParagraph"/>
        <w:numPr>
          <w:ilvl w:val="1"/>
          <w:numId w:val="2"/>
        </w:numPr>
        <w:bidi/>
        <w:spacing w:after="60" w:line="340"/>
        <w:jc w:val="both"/>
      </w:pPr>
      <w:r>
        <w:rPr>
          <w:rFonts w:ascii="Simplified Arabic" w:cs="Simplified Arabic" w:hAnsi="Simplified Arabic"/>
          <w:sz w:val="28"/>
          <w:szCs w:val="28"/>
          <w:rtl/>
        </w:rPr>
        <w:t xml:space="preserve">هشام تبحار (ماجستير، 2025): دراسة فقهية مقاصدية لمنصات التمويل اللامركزي.</w:t>
      </w:r>
    </w:p>
    <w:p>
      <w:pPr>
        <w:pStyle w:val="ListParagraph"/>
        <w:numPr>
          <w:ilvl w:val="1"/>
          <w:numId w:val="2"/>
        </w:numPr>
        <w:bidi/>
        <w:spacing w:after="60" w:line="340"/>
        <w:jc w:val="both"/>
      </w:pPr>
      <w:r>
        <w:rPr>
          <w:rFonts w:ascii="Simplified Arabic" w:cs="Simplified Arabic" w:hAnsi="Simplified Arabic"/>
          <w:sz w:val="28"/>
          <w:szCs w:val="28"/>
          <w:rtl/>
        </w:rPr>
        <w:t xml:space="preserve">إسماعيل أنس الكيلاني (ماجستير، 2022): توريث الحسابات والأصول الرقمية وإنهاؤها.</w:t>
      </w:r>
    </w:p>
    <w:p>
      <w:pPr>
        <w:bidi/>
        <w:spacing w:after="120" w:line="360"/>
        <w:jc w:val="both"/>
      </w:pPr>
      <w:r>
        <w:rPr>
          <w:rFonts w:ascii="Simplified Arabic" w:cs="Simplified Arabic" w:hAnsi="Simplified Arabic"/>
          <w:sz w:val="28"/>
          <w:szCs w:val="28"/>
          <w:rtl/>
        </w:rPr>
        <w:t xml:space="preserve">ويغلب على هذه الرسائل المنظور الجنائي أو الفقهي الجزئي.</w:t>
      </w:r>
    </w:p>
    <w:p>
      <w:pPr>
        <w:pStyle w:val="Heading3"/>
        <w:keepNext/>
        <w:bidi/>
        <w:spacing w:after="120" w:before="240"/>
        <w:jc w:val="right"/>
      </w:pPr>
      <w:r>
        <w:rPr>
          <w:rFonts w:ascii="Simplified Arabic" w:cs="Simplified Arabic" w:hAnsi="Simplified Arabic"/>
          <w:b/>
          <w:bCs/>
          <w:color w:val="2E5597"/>
          <w:sz w:val="30"/>
          <w:szCs w:val="30"/>
          <w:rtl/>
        </w:rPr>
        <w:t xml:space="preserve">(ب) دراسات أخرى</w:t>
      </w:r>
    </w:p>
    <w:p>
      <w:pPr>
        <w:bidi/>
        <w:spacing w:after="120" w:line="360"/>
        <w:jc w:val="both"/>
      </w:pPr>
      <w:r>
        <w:rPr>
          <w:rFonts w:ascii="Simplified Arabic" w:cs="Simplified Arabic" w:hAnsi="Simplified Arabic"/>
          <w:sz w:val="28"/>
          <w:szCs w:val="28"/>
          <w:rtl/>
        </w:rPr>
        <w:t xml:space="preserve">وفي المكتبة العربية أبحاث ومؤلفات جنائية في الموضوع، منها:</w:t>
      </w:r>
    </w:p>
    <w:p>
      <w:pPr>
        <w:pStyle w:val="ListParagraph"/>
        <w:numPr>
          <w:ilvl w:val="0"/>
          <w:numId w:val="2"/>
        </w:numPr>
        <w:bidi/>
        <w:spacing w:after="60" w:line="340"/>
        <w:jc w:val="both"/>
      </w:pPr>
      <w:r>
        <w:rPr>
          <w:rFonts w:ascii="Simplified Arabic" w:cs="Simplified Arabic" w:hAnsi="Simplified Arabic"/>
          <w:sz w:val="28"/>
          <w:szCs w:val="28"/>
          <w:rtl/>
        </w:rPr>
        <w:t xml:space="preserve">بحث أشرف توفيق شمس الدين (2019).</w:t>
      </w:r>
    </w:p>
    <w:p>
      <w:pPr>
        <w:pStyle w:val="ListParagraph"/>
        <w:numPr>
          <w:ilvl w:val="0"/>
          <w:numId w:val="2"/>
        </w:numPr>
        <w:bidi/>
        <w:spacing w:after="60" w:line="340"/>
        <w:jc w:val="both"/>
      </w:pPr>
      <w:r>
        <w:rPr>
          <w:rFonts w:ascii="Simplified Arabic" w:cs="Simplified Arabic" w:hAnsi="Simplified Arabic"/>
          <w:sz w:val="28"/>
          <w:szCs w:val="28"/>
          <w:rtl/>
        </w:rPr>
        <w:t xml:space="preserve">بحث محمد جبريل إبراهيم (2022) وكتابه (2022).</w:t>
      </w:r>
    </w:p>
    <w:p>
      <w:pPr>
        <w:pStyle w:val="ListParagraph"/>
        <w:numPr>
          <w:ilvl w:val="0"/>
          <w:numId w:val="2"/>
        </w:numPr>
        <w:bidi/>
        <w:spacing w:after="60" w:line="340"/>
        <w:jc w:val="both"/>
      </w:pPr>
      <w:r>
        <w:rPr>
          <w:rFonts w:ascii="Simplified Arabic" w:cs="Simplified Arabic" w:hAnsi="Simplified Arabic"/>
          <w:sz w:val="28"/>
          <w:szCs w:val="28"/>
          <w:rtl/>
        </w:rPr>
        <w:t xml:space="preserve">بحث رامي متولي القاضي (2022).</w:t>
      </w:r>
    </w:p>
    <w:p>
      <w:pPr>
        <w:pStyle w:val="ListParagraph"/>
        <w:numPr>
          <w:ilvl w:val="0"/>
          <w:numId w:val="2"/>
        </w:numPr>
        <w:bidi/>
        <w:spacing w:after="60" w:line="340"/>
        <w:jc w:val="both"/>
      </w:pPr>
      <w:r>
        <w:rPr>
          <w:rFonts w:ascii="Simplified Arabic" w:cs="Simplified Arabic" w:hAnsi="Simplified Arabic"/>
          <w:sz w:val="28"/>
          <w:szCs w:val="28"/>
          <w:rtl/>
        </w:rPr>
        <w:t xml:space="preserve">بحث خالد محمد نور الطباخ (2022) وكتابه (2021).</w:t>
      </w:r>
    </w:p>
    <w:p>
      <w:pPr>
        <w:bidi/>
        <w:spacing w:after="120" w:line="360"/>
        <w:jc w:val="both"/>
      </w:pPr>
      <w:r>
        <w:rPr>
          <w:rFonts w:ascii="Simplified Arabic" w:cs="Simplified Arabic" w:hAnsi="Simplified Arabic"/>
          <w:sz w:val="28"/>
          <w:szCs w:val="28"/>
          <w:rtl/>
        </w:rPr>
        <w:t xml:space="preserve">ويُفاد منها في المبحث الجنائي وحده.</w:t>
      </w:r>
    </w:p>
    <w:p>
      <w:pPr>
        <w:pStyle w:val="Heading3"/>
        <w:keepNext/>
        <w:bidi/>
        <w:spacing w:after="120" w:before="240"/>
        <w:jc w:val="right"/>
      </w:pPr>
      <w:r>
        <w:rPr>
          <w:rFonts w:ascii="Simplified Arabic" w:cs="Simplified Arabic" w:hAnsi="Simplified Arabic"/>
          <w:b/>
          <w:bCs/>
          <w:color w:val="2E5597"/>
          <w:sz w:val="30"/>
          <w:szCs w:val="30"/>
          <w:rtl/>
        </w:rPr>
        <w:t xml:space="preserve">(ج) تقويم الدراسات السابقة وما يضيفه البحث</w:t>
      </w:r>
    </w:p>
    <w:p>
      <w:pPr>
        <w:bidi/>
        <w:spacing w:after="120" w:line="360"/>
        <w:jc w:val="both"/>
      </w:pPr>
      <w:r>
        <w:rPr>
          <w:rFonts w:ascii="Simplified Arabic" w:cs="Simplified Arabic" w:hAnsi="Simplified Arabic"/>
          <w:sz w:val="28"/>
          <w:szCs w:val="28"/>
          <w:rtl/>
        </w:rPr>
        <w:t xml:space="preserve">يغلب على الدراسات السابقة أحد منظورين: جنائي جزئي (غسل الأموال، والسياسة الجنائية، وتمويل الإرهاب)، أو تجاري يتعلق بأدوات الدفع. ويضاف إلى ذلك أن أغلبها سابق على التحولات التشريعية والقضائية في الفترة 2023–2026. ويضيف البحث المقترح ما يأتي: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جعل البعد النقدي والمالي العام مركز ثقل الدراسة:</w:t>
      </w:r>
      <w:r>
        <w:rPr>
          <w:rFonts w:ascii="Simplified Arabic" w:cs="Simplified Arabic" w:hAnsi="Simplified Arabic"/>
          <w:sz w:val="28"/>
          <w:szCs w:val="28"/>
          <w:rtl/>
        </w:rPr>
        <w:t xml:space="preserve"> السيادة النقدية ونظام الصرف، والضريبة، والإيرادات والأصول العامة، والعملة الرقمية للبنك المركزي.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مقارنة مصرية قطرية</w:t>
      </w:r>
      <w:r>
        <w:rPr>
          <w:rFonts w:ascii="Simplified Arabic" w:cs="Simplified Arabic" w:hAnsi="Simplified Arabic"/>
          <w:sz w:val="28"/>
          <w:szCs w:val="28"/>
          <w:rtl/>
        </w:rPr>
        <w:t xml:space="preserve"> تدخل فيها لائحة الأصول الرقمية لمركز قطر للمال لسنة 2024 وأعمالها التحضيرية.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رصد المستجدات:</w:t>
      </w:r>
      <w:r>
        <w:rPr>
          <w:rFonts w:ascii="Simplified Arabic" w:cs="Simplified Arabic" w:hAnsi="Simplified Arabic"/>
          <w:sz w:val="28"/>
          <w:szCs w:val="28"/>
          <w:rtl/>
        </w:rPr>
        <w:t xml:space="preserve"> القانون رقم 156 لسنة 2024، وأحكام المحاكم الاقتصادية (2023 و2025)، واجتهاد محاكم مركز دبي المالي العالمي (2024–2026)، وقانون الملكية البريطاني لسنة 2025.</w:t>
      </w:r>
    </w:p>
    <w:p>
      <w:pPr>
        <w:pStyle w:val="ListParagraph"/>
        <w:numPr>
          <w:ilvl w:val="0"/>
          <w:numId w:val="2"/>
        </w:numPr>
        <w:bidi/>
        <w:spacing w:after="60" w:line="340"/>
        <w:jc w:val="both"/>
      </w:pPr>
      <w:r>
        <w:rPr>
          <w:rFonts w:ascii="Simplified Arabic" w:cs="Simplified Arabic" w:hAnsi="Simplified Arabic"/>
          <w:b/>
          <w:bCs/>
          <w:sz w:val="28"/>
          <w:szCs w:val="28"/>
          <w:rtl/>
        </w:rPr>
        <w:t xml:space="preserve">معالجة المشروعية الدستورية لأدوات التنظيم</w:t>
      </w:r>
      <w:r>
        <w:rPr>
          <w:rFonts w:ascii="Simplified Arabic" w:cs="Simplified Arabic" w:hAnsi="Simplified Arabic"/>
          <w:sz w:val="28"/>
          <w:szCs w:val="28"/>
          <w:rtl/>
        </w:rPr>
        <w:t xml:space="preserve"> معالجة مقارنة.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تقديم نصوص تشريعية مقترحة</w:t>
      </w:r>
      <w:r>
        <w:rPr>
          <w:rFonts w:ascii="Simplified Arabic" w:cs="Simplified Arabic" w:hAnsi="Simplified Arabic"/>
          <w:sz w:val="28"/>
          <w:szCs w:val="28"/>
          <w:rtl/>
        </w:rPr>
        <w:t xml:space="preserve"> محددة.</w:t>
      </w:r>
    </w:p>
    <w:p>
      <w:pPr>
        <w:pStyle w:val="Heading3"/>
        <w:keepNext/>
        <w:bidi/>
        <w:spacing w:after="120" w:before="240"/>
        <w:jc w:val="right"/>
      </w:pPr>
      <w:r>
        <w:rPr>
          <w:rFonts w:ascii="Simplified Arabic" w:cs="Simplified Arabic" w:hAnsi="Simplified Arabic"/>
          <w:b/>
          <w:bCs/>
          <w:color w:val="2E5597"/>
          <w:sz w:val="30"/>
          <w:szCs w:val="30"/>
          <w:rtl/>
        </w:rPr>
        <w:t xml:space="preserve">(د) حدود الحصر</w:t>
      </w:r>
    </w:p>
    <w:p>
      <w:pPr>
        <w:bidi/>
        <w:spacing w:after="120" w:line="360"/>
        <w:jc w:val="both"/>
      </w:pPr>
      <w:r>
        <w:rPr>
          <w:rFonts w:ascii="Simplified Arabic" w:cs="Simplified Arabic" w:hAnsi="Simplified Arabic"/>
          <w:sz w:val="28"/>
          <w:szCs w:val="28"/>
          <w:rtl/>
        </w:rPr>
        <w:t xml:space="preserve">اقتصر الحصر حتى تاريخ إعداد الخطة على ثلاثة مصادر: فهرس مكتبة كلية الحقوق بجامعة القاهرة، وإعلانات المناقشة المنشورة على موقع الكلية (أكتوبر 2022 – يناير 2026)، ومستودع جامعة قطر. ويُستكمل قبل التسجيل بثلاثة إجراءات: طلب «الإفادة عن عنوان الرسالة» من مركز المعلومات والتوثيق بالجامعة، والبحث في قاعدتي دار المنظومة وبنك المعرفة المصري، والبحث في فهرس اتحاد مكتبات الجامعات المصرية.</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حادي عشر: صعوبات البحث</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سرعة التطور التشريعي والتنظيمي.</w:t>
      </w:r>
      <w:r>
        <w:rPr>
          <w:rFonts w:ascii="Simplified Arabic" w:cs="Simplified Arabic" w:hAnsi="Simplified Arabic"/>
          <w:sz w:val="28"/>
          <w:szCs w:val="28"/>
          <w:rtl/>
        </w:rPr>
        <w:t xml:space="preserve"> من أمثلته:</w:t>
      </w:r>
    </w:p>
    <w:p>
      <w:pPr>
        <w:pStyle w:val="ListParagraph"/>
        <w:numPr>
          <w:ilvl w:val="1"/>
          <w:numId w:val="2"/>
        </w:numPr>
        <w:bidi/>
        <w:spacing w:after="60" w:line="340"/>
        <w:jc w:val="both"/>
      </w:pPr>
      <w:r>
        <w:rPr>
          <w:rFonts w:ascii="Simplified Arabic" w:cs="Simplified Arabic" w:hAnsi="Simplified Arabic"/>
          <w:sz w:val="28"/>
          <w:szCs w:val="28"/>
          <w:rtl/>
        </w:rPr>
        <w:t xml:space="preserve">انتهاء الفترة الانتقالية لمقدمي الخدمات بموجب لائحة MiCA في 1 يوليو 2026.</w:t>
      </w:r>
    </w:p>
    <w:p>
      <w:pPr>
        <w:pStyle w:val="ListParagraph"/>
        <w:numPr>
          <w:ilvl w:val="1"/>
          <w:numId w:val="2"/>
        </w:numPr>
        <w:bidi/>
        <w:spacing w:after="60" w:line="340"/>
        <w:jc w:val="both"/>
      </w:pPr>
      <w:r>
        <w:rPr>
          <w:rFonts w:ascii="Simplified Arabic" w:cs="Simplified Arabic" w:hAnsi="Simplified Arabic"/>
          <w:sz w:val="28"/>
          <w:szCs w:val="28"/>
          <w:rtl/>
        </w:rPr>
        <w:t xml:space="preserve">موعد نفاذ قانون GENIUS في 18 يناير 2027 على الأكثر.</w:t>
      </w:r>
    </w:p>
    <w:p>
      <w:pPr>
        <w:pStyle w:val="ListParagraph"/>
        <w:numPr>
          <w:ilvl w:val="1"/>
          <w:numId w:val="2"/>
        </w:numPr>
        <w:bidi/>
        <w:spacing w:after="60" w:line="340"/>
        <w:jc w:val="both"/>
      </w:pPr>
      <w:r>
        <w:rPr>
          <w:rFonts w:ascii="Simplified Arabic" w:cs="Simplified Arabic" w:hAnsi="Simplified Arabic"/>
          <w:sz w:val="28"/>
          <w:szCs w:val="28"/>
          <w:rtl/>
        </w:rPr>
        <w:t xml:space="preserve">طرح مشروع قانون قطري بتنظيم ترميز العقارات للاستطلاع في أغسطس 2026.</w:t>
      </w:r>
    </w:p>
    <w:p>
      <w:pPr>
        <w:bidi/>
        <w:spacing w:after="120" w:line="360"/>
        <w:jc w:val="both"/>
      </w:pPr>
      <w:r>
        <w:rPr>
          <w:rFonts w:ascii="Simplified Arabic" w:cs="Simplified Arabic" w:hAnsi="Simplified Arabic"/>
          <w:sz w:val="28"/>
          <w:szCs w:val="28"/>
          <w:rtl/>
        </w:rPr>
        <w:t xml:space="preserve">ويواجه البحث ذلك بتحديد تاريخ لتجميد المادة العلمية، وبملحق للمستجدات اللاحقة.</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الفراغ القضائي العربي.</w:t>
      </w:r>
      <w:r>
        <w:rPr>
          <w:rFonts w:ascii="Simplified Arabic" w:cs="Simplified Arabic" w:hAnsi="Simplified Arabic"/>
          <w:sz w:val="28"/>
          <w:szCs w:val="28"/>
          <w:rtl/>
        </w:rPr>
        <w:t xml:space="preserve"> لم يقف الباحث على حكم منشور لمحكمة التمييز القطرية أو لمحكمة مركز قطر للمال في منازعات العملات الرقمية. والأحكام المصرية المتاحة جنائية، ومصدرها التغطية الصحفية. ويعد البحث هذا الفراغ نفسه من نتائجه، ويسعى إلى الحصول على صور رسمية من الأحكام وأسبابها.</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صعوبة الحصول على النصوص الرسمية لبعض الأدوات التنظيمية</w:t>
      </w:r>
      <w:r>
        <w:rPr>
          <w:rFonts w:ascii="Simplified Arabic" w:cs="Simplified Arabic" w:hAnsi="Simplified Arabic"/>
          <w:sz w:val="28"/>
          <w:szCs w:val="28"/>
          <w:rtl/>
        </w:rPr>
        <w:t xml:space="preserve">، كتعميمي مصرف قطر المركزي. فالمتاح منهما إحالات في وثائق رسمية أخرى ومصادر ثانوية.</w:t>
      </w:r>
    </w:p>
    <w:p>
      <w:pPr>
        <w:bidi/>
        <w:spacing w:after="60" w:line="340"/>
        <w:ind w:start="360" w:hanging="360"/>
        <w:jc w:val="both"/>
      </w:pPr>
      <w:r>
        <w:rPr>
          <w:rFonts w:ascii="Simplified Arabic" w:cs="Simplified Arabic" w:hAnsi="Simplified Arabic"/>
          <w:sz w:val="28"/>
          <w:szCs w:val="28"/>
          <w:rtl/>
        </w:rPr>
        <w:t xml:space="preserve">4. </w:t>
      </w:r>
      <w:r>
        <w:rPr>
          <w:rFonts w:ascii="Simplified Arabic" w:cs="Simplified Arabic" w:hAnsi="Simplified Arabic"/>
          <w:b/>
          <w:bCs/>
          <w:sz w:val="28"/>
          <w:szCs w:val="28"/>
          <w:rtl/>
        </w:rPr>
        <w:t xml:space="preserve">لغة لائحة الأصول الرقمية لمركز قطر للمال.</w:t>
      </w:r>
      <w:r>
        <w:rPr>
          <w:rFonts w:ascii="Simplified Arabic" w:cs="Simplified Arabic" w:hAnsi="Simplified Arabic"/>
          <w:sz w:val="28"/>
          <w:szCs w:val="28"/>
          <w:rtl/>
        </w:rPr>
        <w:t xml:space="preserve"> النص الإنجليزي وحده هو الرسمي بحكم المادة (4) منها، وهذا يقتضي الحذر في ترجمة المصطلحات.</w:t>
      </w:r>
    </w:p>
    <w:p>
      <w:pPr>
        <w:bidi/>
        <w:spacing w:after="60" w:line="340"/>
        <w:ind w:start="360" w:hanging="360"/>
        <w:jc w:val="both"/>
      </w:pPr>
      <w:r>
        <w:rPr>
          <w:rFonts w:ascii="Simplified Arabic" w:cs="Simplified Arabic" w:hAnsi="Simplified Arabic"/>
          <w:sz w:val="28"/>
          <w:szCs w:val="28"/>
          <w:rtl/>
        </w:rPr>
        <w:t xml:space="preserve">5. </w:t>
      </w:r>
      <w:r>
        <w:rPr>
          <w:rFonts w:ascii="Simplified Arabic" w:cs="Simplified Arabic" w:hAnsi="Simplified Arabic"/>
          <w:b/>
          <w:bCs/>
          <w:sz w:val="28"/>
          <w:szCs w:val="28"/>
          <w:rtl/>
        </w:rPr>
        <w:t xml:space="preserve">ندرة البيانات الكمية</w:t>
      </w:r>
      <w:r>
        <w:rPr>
          <w:rFonts w:ascii="Simplified Arabic" w:cs="Simplified Arabic" w:hAnsi="Simplified Arabic"/>
          <w:sz w:val="28"/>
          <w:szCs w:val="28"/>
          <w:rtl/>
        </w:rPr>
        <w:t xml:space="preserve"> عن حجم التعامل في العملات الرقمية في البلدين. ولذلك يقتصر التحليل الاقتصادي على التحليل النوعي، مع بيان حدوده.</w:t>
      </w:r>
    </w:p>
    <w:p>
      <w:pPr>
        <w:bidi/>
        <w:spacing w:after="60" w:line="340"/>
        <w:ind w:start="360" w:hanging="360"/>
        <w:jc w:val="both"/>
      </w:pPr>
      <w:r>
        <w:rPr>
          <w:rFonts w:ascii="Simplified Arabic" w:cs="Simplified Arabic" w:hAnsi="Simplified Arabic"/>
          <w:sz w:val="28"/>
          <w:szCs w:val="28"/>
          <w:rtl/>
        </w:rPr>
        <w:t xml:space="preserve">6. </w:t>
      </w:r>
      <w:r>
        <w:rPr>
          <w:rFonts w:ascii="Simplified Arabic" w:cs="Simplified Arabic" w:hAnsi="Simplified Arabic"/>
          <w:b/>
          <w:bCs/>
          <w:sz w:val="28"/>
          <w:szCs w:val="28"/>
          <w:rtl/>
        </w:rPr>
        <w:t xml:space="preserve">اضطراب المصطلحات بين التشريعات:</w:t>
      </w:r>
      <w:r>
        <w:rPr>
          <w:rFonts w:ascii="Simplified Arabic" w:cs="Simplified Arabic" w:hAnsi="Simplified Arabic"/>
          <w:sz w:val="28"/>
          <w:szCs w:val="28"/>
          <w:rtl/>
        </w:rPr>
        <w:t xml:space="preserve"> عملة مشفرة، وأصل افتراضي، وأصل مشفر، ورمز، وأصل رقمي.</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ثاني عشر: خطة التقسيم التفصيلية</w:t>
      </w:r>
    </w:p>
    <w:p>
      <w:pPr>
        <w:pStyle w:val="Heading3"/>
        <w:keepNext/>
        <w:bidi/>
        <w:spacing w:after="120" w:before="240"/>
        <w:jc w:val="right"/>
      </w:pPr>
      <w:r>
        <w:rPr>
          <w:rFonts w:ascii="Simplified Arabic" w:cs="Simplified Arabic" w:hAnsi="Simplified Arabic"/>
          <w:b/>
          <w:bCs/>
          <w:color w:val="2E5597"/>
          <w:sz w:val="30"/>
          <w:szCs w:val="30"/>
          <w:rtl/>
        </w:rPr>
        <w:t xml:space="preserve">المقدمة</w:t>
      </w:r>
    </w:p>
    <w:p>
      <w:pPr>
        <w:bidi/>
        <w:spacing w:after="120" w:line="360"/>
        <w:jc w:val="both"/>
      </w:pPr>
      <w:r>
        <w:rPr>
          <w:rFonts w:ascii="Simplified Arabic" w:cs="Simplified Arabic" w:hAnsi="Simplified Arabic"/>
          <w:sz w:val="28"/>
          <w:szCs w:val="28"/>
          <w:rtl/>
        </w:rPr>
        <w:t xml:space="preserve">موضوع البحث، وأهميته، وأسباب اختياره، وإشكاليته وتساؤلاته، وأهدافه وفرضياته، ومنهجه، ونطاقه، والدراسات السابقة، وصعوباته، وخطة التقسيم.</w:t>
      </w:r>
    </w:p>
    <w:p>
      <w:pPr>
        <w:pBdr>
          <w:bottom w:val="single" w:color="AAAAAA" w:sz="6" w:space="1"/>
        </w:pBdr>
        <w:bidi/>
        <w:spacing w:after="120"/>
      </w:pPr>
    </w:p>
    <w:p>
      <w:pPr>
        <w:pStyle w:val="Heading3"/>
        <w:keepNext/>
        <w:bidi/>
        <w:spacing w:after="120" w:before="240"/>
        <w:jc w:val="right"/>
      </w:pPr>
      <w:r>
        <w:rPr>
          <w:rFonts w:ascii="Simplified Arabic" w:cs="Simplified Arabic" w:hAnsi="Simplified Arabic"/>
          <w:b/>
          <w:bCs/>
          <w:color w:val="2E5597"/>
          <w:sz w:val="30"/>
          <w:szCs w:val="30"/>
          <w:rtl/>
        </w:rPr>
        <w:t xml:space="preserve">الفصل التمهيدي: ماهية العملات الرقمية وتمييزها عما يشتبه بها</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مفهوم العملات الرقمية وأساسها التقني والتشريعي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نشأة العملات الرقمية وتقنية السجلات الموزعة وآلية الإجماع</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التعريفات التشريعية في القانونين المصري والقطري والأنظمة المرجعية، واضطراب المصطلح</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تمييز العملات الرقمية الخاصة عما يشتبه بها</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العملة المشفرة والعملة المستقرة والنقود الإلكترونية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العملة الرقمية للبنك المركزي والرموز الممثلة لأصول</w:t>
      </w:r>
    </w:p>
    <w:p>
      <w:pPr>
        <w:pBdr>
          <w:bottom w:val="single" w:color="AAAAAA" w:sz="6" w:space="1"/>
        </w:pBdr>
        <w:bidi/>
        <w:spacing w:after="120"/>
      </w:pPr>
    </w:p>
    <w:p>
      <w:pPr>
        <w:pStyle w:val="Heading3"/>
        <w:keepNext/>
        <w:bidi/>
        <w:spacing w:after="120" w:before="240"/>
        <w:jc w:val="right"/>
      </w:pPr>
      <w:r>
        <w:rPr>
          <w:rFonts w:ascii="Simplified Arabic" w:cs="Simplified Arabic" w:hAnsi="Simplified Arabic"/>
          <w:b/>
          <w:bCs/>
          <w:color w:val="2E5597"/>
          <w:sz w:val="30"/>
          <w:szCs w:val="30"/>
          <w:rtl/>
        </w:rPr>
        <w:t xml:space="preserve">الباب الأول: التنظيم القانوني للعملات الرقمية في ضوء مقتضيات السيادة النقدية والمالية العامة</w:t>
      </w:r>
    </w:p>
    <w:p>
      <w:pPr>
        <w:shd w:fill="F2F2F2" w:color="auto" w:val="clear"/>
        <w:bidi/>
        <w:spacing w:after="80"/>
        <w:ind w:start="567" w:end="567"/>
        <w:jc w:val="both"/>
      </w:pPr>
      <w:r>
        <w:rPr>
          <w:rFonts w:ascii="Simplified Arabic" w:cs="Simplified Arabic" w:hAnsi="Simplified Arabic"/>
          <w:sz w:val="26"/>
          <w:szCs w:val="26"/>
          <w:rtl/>
        </w:rPr>
        <w:t xml:space="preserve">يقوم هذا الباب على أن التنظيم القانوني للعملات الرقمية لا يُفهم إلا في ضوء وظيفة الدولة النقدية والمالية. ولذلك يبدأ بالطبيعة الاقتصادية للعملات الرقمية، ثم يعالج النماذج التنظيمية من زاوية حماية السيادة النقدية، ويختم بأبعادها المالية العامة.</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الأول: الطبيعة الاقتصادية والقانونية للعملات الرقمية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العملات الرقمية في ميزان النظرية النقدية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مدى تحقق وظائف النقود ومعايير النظام النقدي السليم (الوحدة، والمرونة، والنزاهة)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ولاية الدولة على إصدار النقد بين النظريات النقدية والأساس الدستوري والفقهي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التكييف القانوني للعملة الرقمية والحقوق الواردة عليها</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العملة الرقمية بين النقد والمال: الاتجاهات التشريعية والقضائية والفقهية المقارنة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السيطرة بديلًا عن الحيازة، وانتقال الحق على الأصل الرقمي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الثالث: أثر الحظر في التصرفات الواردة على العملات الرقمية وفي الالتزامات المقومة بها</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الثاني: النماذج التنظيمية وحماية السيادة النقدية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النماذج التشريعية في مواجهة العملات الرقمية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نموذجا الحظر في القانونين المصري والقطري: الحظر المعلق على الترخيص، والحظر الإداري مع إباحة ترميز الأصول</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نماذج الترخيص والتنظيم في الأنظمة المرجعية: الاتحاد الأوروبي، والإمارات، والولايات المتحدة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العملات الرقمية ونظام الصرف والرقابة على النقد الأجنبي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العملات المستقرة وإحلال العملة في نظامي الربط الثابت والصرف غير المربوط</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نطاق قواعد التعامل في النقد الأجنبي إزاء العملات المستقرة المقومة بعملة أجنبية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الثالث: الرقابة على مقدمي الخدمات وسلامة النظام المالي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توزيع الاختصاص الرقابي ونظام الترخيص</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المخاطر النظامية والضوابط الاحترازية للمصارف ومكافحة غسل الأموال</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الثالث: الأبعاد المالية العامة للعملات الرقمية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المعاملة الضريبية للعملات الرقمية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مبدأ قانونية الضريبة وإخضاع الدخل المتحقق من التعامل في العملات الرقمية للضريبة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الضرائب غير المباشرة والشفافية الضريبية الدولية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العملات الرقمية والإيرادات والأصول العامة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عائد الإصدار وأثر إحلال العملات الخاصة في أرباح البنك المركزي والخزانة العامة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الأصول الرقمية في المال العام: حفظ المصادَر منها وتقويمه وقيده إيرادًا عامًا، واستثمار الأموال العامة فيها</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الثالث: العملة الرقمية للبنك المركزي بديلًا سياديًا</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الأساس القانوني للإصدار وأثره في ميزانية البنك المركزي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عملة الجملة وعملة التجزئة في التجربة القطرية والتجارب المقارنة</w:t>
      </w:r>
    </w:p>
    <w:p>
      <w:pPr>
        <w:pBdr>
          <w:bottom w:val="single" w:color="AAAAAA" w:sz="6" w:space="1"/>
        </w:pBdr>
        <w:bidi/>
        <w:spacing w:after="120"/>
      </w:pPr>
    </w:p>
    <w:p>
      <w:pPr>
        <w:pStyle w:val="Heading3"/>
        <w:keepNext/>
        <w:bidi/>
        <w:spacing w:after="120" w:before="240"/>
        <w:jc w:val="right"/>
      </w:pPr>
      <w:r>
        <w:rPr>
          <w:rFonts w:ascii="Simplified Arabic" w:cs="Simplified Arabic" w:hAnsi="Simplified Arabic"/>
          <w:b/>
          <w:bCs/>
          <w:color w:val="2E5597"/>
          <w:sz w:val="30"/>
          <w:szCs w:val="30"/>
          <w:rtl/>
        </w:rPr>
        <w:t xml:space="preserve">الباب الثاني: التنظيم القضائي للعملات الرقمية</w:t>
      </w:r>
    </w:p>
    <w:p>
      <w:pPr>
        <w:shd w:fill="F2F2F2" w:color="auto" w:val="clear"/>
        <w:bidi/>
        <w:spacing w:after="80"/>
        <w:ind w:start="567" w:end="567"/>
        <w:jc w:val="both"/>
      </w:pPr>
      <w:r>
        <w:rPr>
          <w:rFonts w:ascii="Simplified Arabic" w:cs="Simplified Arabic" w:hAnsi="Simplified Arabic"/>
          <w:sz w:val="26"/>
          <w:szCs w:val="26"/>
          <w:rtl/>
        </w:rPr>
        <w:t xml:space="preserve">يُقصد بالتنظيم القضائي هنا المعنى المحدد في ضبط المصطلحات: جهات الفصل واختصاصها، والرقابة على أدوات التنظيم، والحماية الإجرائية، والمسؤولية في التطبيق. والقضاء المقارن في هذا الباب مصدر للحلول المقترحة لسد الفراغ في النظامين المصري والقطري، وليس محورًا للدراسة. ويتصل الباب بالمالية العامة في ثلاثة مواضع: رقابة القضاء على قرارات السلطات النقدية والرقابية والضريبية، وقيد الطلب الكتابي من محافظ البنك المركزي على تحريك الدعوى الجنائية، والمصادرة ورد الأموال.</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الأول: الولاية القضائية والرقابة على أدوات التنظيم</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القضاء المتخصص في المنازعات الاقتصادية والمالية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المحاكم الاقتصادية المصرية: الاختصاص المدني والجنائي بعد القانون رقم 156 لسنة 2024، ومسألة سند الاختصاص الجنائي في المادة (4)</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ازدواج النظام القضائي في قطر، ومحكمة الاقتصاد الرقمي في مركز دبي المالي العالمي نموذجًا مقارنًا</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الرقابة القضائية على مشروعية أدوات التنظيم</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رقابة القضاء على قرارات الترخيص والجزاءات وقرارات لجان فض المنازعات والقرارات الضريبية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المشروعية الدستورية لأدوات التنظيم: التفويض التشريعي، وشرعية الجرائم والعقوبات، وقانونية الضريبة، وحماية الملكية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الثالث: الوسائل البديلة والاختصاص القضائي الدولي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لجان فض المنازعات والتحكيم، وحدود قابلية منازعات المتعاملين للتحكيم</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تحديد موقع الأصل الرقمي، وضوابط الاختصاص الدولي، والقانون الواجب التطبيق</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الثاني: الحماية القضائية الإجرائية للحقوق المتعلقة بالعملات الرقمية</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التدابير الوقتية والتحفظية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الحلول القضائية المقارنة: الأوامر العينية وأوامر التجميد والإفصاح في مواجهة المجهولين والمنصات</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حدود الاستفادة منها في نظامي الحجز التحفظي والأوامر على العرائض في القانونين المصري والقطري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الإثبات</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حجية السجلات والمحررات الإلكترونية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خبرة تتبع الأصول على السلسلة وعبء الإثبات</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الثالث: التنفيذ الجبري وإعسار مقدمي الخدمات</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التنفيذ على العملات الرقمية والسلطات العلاجية للقاضي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مصير أصول العملاء عند إعسار مقدم الخدمة، وتقويم مطالباتهم</w:t>
      </w:r>
    </w:p>
    <w:p>
      <w:pPr>
        <w:pStyle w:val="Heading4"/>
        <w:keepNext/>
        <w:bidi/>
        <w:spacing w:after="120" w:before="240"/>
        <w:jc w:val="right"/>
      </w:pPr>
      <w:r>
        <w:rPr>
          <w:rFonts w:ascii="Simplified Arabic" w:cs="Simplified Arabic" w:hAnsi="Simplified Arabic"/>
          <w:b/>
          <w:bCs/>
          <w:color w:val="2E5597"/>
          <w:sz w:val="28"/>
          <w:szCs w:val="28"/>
          <w:rtl/>
        </w:rPr>
        <w:t xml:space="preserve">الفصل الثالث: المسؤولية في التطبيق القضائي</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الأول: الحماية الجنائية في التشريع والتطبيق القضائي</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جريمة مزاولة أنشطة العملات المشفرة دون ترخيص، وقيد الطلب الكتابي من المحافظ، وتعدد الأوصاف</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التطبيقات القضائية: مبدأ عدم رجعية النص الجنائي، والتحفظ، والمصادرة ورد الأموال</w:t>
      </w:r>
    </w:p>
    <w:p>
      <w:pPr>
        <w:pStyle w:val="ListParagraph"/>
        <w:numPr>
          <w:ilvl w:val="0"/>
          <w:numId w:val="2"/>
        </w:numPr>
        <w:bidi/>
        <w:spacing w:after="60" w:line="340"/>
        <w:jc w:val="both"/>
      </w:pPr>
      <w:r>
        <w:rPr>
          <w:rFonts w:ascii="Simplified Arabic" w:cs="Simplified Arabic" w:hAnsi="Simplified Arabic"/>
          <w:b/>
          <w:bCs/>
          <w:sz w:val="28"/>
          <w:szCs w:val="28"/>
          <w:rtl/>
        </w:rPr>
        <w:t xml:space="preserve">المبحث الثاني: المسؤولية المدنية لمقدمي الخدمات</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الأول: طبيعة التزام أمين الحفظ والمنصة: بذل عناية أم تحقيق نتيجة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المطلب الثاني: المسؤولية عن الاحتيال وانهيار العملات المستقرة، والرد المدني</w:t>
      </w:r>
    </w:p>
    <w:p>
      <w:pPr>
        <w:pBdr>
          <w:bottom w:val="single" w:color="AAAAAA" w:sz="6" w:space="1"/>
        </w:pBdr>
        <w:bidi/>
        <w:spacing w:after="120"/>
      </w:pPr>
    </w:p>
    <w:p>
      <w:pPr>
        <w:pStyle w:val="Heading3"/>
        <w:keepNext/>
        <w:bidi/>
        <w:spacing w:after="120" w:before="240"/>
        <w:jc w:val="right"/>
      </w:pPr>
      <w:r>
        <w:rPr>
          <w:rFonts w:ascii="Simplified Arabic" w:cs="Simplified Arabic" w:hAnsi="Simplified Arabic"/>
          <w:b/>
          <w:bCs/>
          <w:color w:val="2E5597"/>
          <w:sz w:val="30"/>
          <w:szCs w:val="30"/>
          <w:rtl/>
        </w:rPr>
        <w:t xml:space="preserve">الخاتمة</w:t>
      </w:r>
    </w:p>
    <w:p>
      <w:pPr>
        <w:bidi/>
        <w:spacing w:after="120" w:line="360"/>
        <w:jc w:val="both"/>
      </w:pPr>
      <w:r>
        <w:rPr>
          <w:rFonts w:ascii="Simplified Arabic" w:cs="Simplified Arabic" w:hAnsi="Simplified Arabic"/>
          <w:sz w:val="28"/>
          <w:szCs w:val="28"/>
          <w:rtl/>
        </w:rPr>
        <w:t xml:space="preserve">النتائج والتوصيات، وملحق بنصوص تشريعية مقترحة.</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ثالث عشر: الخاتمة</w:t>
      </w:r>
    </w:p>
    <w:p>
      <w:pPr>
        <w:bidi/>
        <w:spacing w:after="120" w:line="360"/>
        <w:jc w:val="both"/>
      </w:pPr>
      <w:r>
        <w:rPr>
          <w:rFonts w:ascii="Simplified Arabic" w:cs="Simplified Arabic" w:hAnsi="Simplified Arabic"/>
          <w:sz w:val="28"/>
          <w:szCs w:val="28"/>
          <w:rtl/>
        </w:rPr>
        <w:t xml:space="preserve">تتضمن خاتمة الرسالة ثلاثة عناصر:</w:t>
      </w:r>
    </w:p>
    <w:p>
      <w:pPr>
        <w:bidi/>
        <w:spacing w:after="60" w:line="340"/>
        <w:ind w:start="360" w:hanging="360"/>
        <w:jc w:val="both"/>
      </w:pPr>
      <w:r>
        <w:rPr>
          <w:rFonts w:ascii="Simplified Arabic" w:cs="Simplified Arabic" w:hAnsi="Simplified Arabic"/>
          <w:sz w:val="28"/>
          <w:szCs w:val="28"/>
          <w:rtl/>
        </w:rPr>
        <w:t xml:space="preserve">1. </w:t>
      </w:r>
      <w:r>
        <w:rPr>
          <w:rFonts w:ascii="Simplified Arabic" w:cs="Simplified Arabic" w:hAnsi="Simplified Arabic"/>
          <w:b/>
          <w:bCs/>
          <w:sz w:val="28"/>
          <w:szCs w:val="28"/>
          <w:rtl/>
        </w:rPr>
        <w:t xml:space="preserve">النتائج:</w:t>
      </w:r>
      <w:r>
        <w:rPr>
          <w:rFonts w:ascii="Simplified Arabic" w:cs="Simplified Arabic" w:hAnsi="Simplified Arabic"/>
          <w:sz w:val="28"/>
          <w:szCs w:val="28"/>
          <w:rtl/>
        </w:rPr>
        <w:t xml:space="preserve"> تُعرض مرتبة وفق محاور الإشكالية الثلاثة (التكييف، والأداة، والحماية)، ويبيَّن فيها ما ثبت من الفرضيات السبع وما انتفى.</w:t>
      </w:r>
    </w:p>
    <w:p>
      <w:pPr>
        <w:bidi/>
        <w:spacing w:after="60" w:line="340"/>
        <w:ind w:start="360" w:hanging="360"/>
        <w:jc w:val="both"/>
      </w:pPr>
      <w:r>
        <w:rPr>
          <w:rFonts w:ascii="Simplified Arabic" w:cs="Simplified Arabic" w:hAnsi="Simplified Arabic"/>
          <w:sz w:val="28"/>
          <w:szCs w:val="28"/>
          <w:rtl/>
        </w:rPr>
        <w:t xml:space="preserve">2. </w:t>
      </w:r>
      <w:r>
        <w:rPr>
          <w:rFonts w:ascii="Simplified Arabic" w:cs="Simplified Arabic" w:hAnsi="Simplified Arabic"/>
          <w:b/>
          <w:bCs/>
          <w:sz w:val="28"/>
          <w:szCs w:val="28"/>
          <w:rtl/>
        </w:rPr>
        <w:t xml:space="preserve">التوصيات:</w:t>
      </w:r>
      <w:r>
        <w:rPr>
          <w:rFonts w:ascii="Simplified Arabic" w:cs="Simplified Arabic" w:hAnsi="Simplified Arabic"/>
          <w:sz w:val="28"/>
          <w:szCs w:val="28"/>
          <w:rtl/>
        </w:rPr>
        <w:t xml:space="preserve"> تتجه، تبعًا لما ينتهي إليه البحث، إلى ثلاث جهات: المشرعين المصري والقطري، والسلطات النقدية والرقابية والضريبية، والجهات القضائية.</w:t>
      </w:r>
    </w:p>
    <w:p>
      <w:pPr>
        <w:bidi/>
        <w:spacing w:after="60" w:line="340"/>
        <w:ind w:start="360" w:hanging="360"/>
        <w:jc w:val="both"/>
      </w:pPr>
      <w:r>
        <w:rPr>
          <w:rFonts w:ascii="Simplified Arabic" w:cs="Simplified Arabic" w:hAnsi="Simplified Arabic"/>
          <w:sz w:val="28"/>
          <w:szCs w:val="28"/>
          <w:rtl/>
        </w:rPr>
        <w:t xml:space="preserve">3. </w:t>
      </w:r>
      <w:r>
        <w:rPr>
          <w:rFonts w:ascii="Simplified Arabic" w:cs="Simplified Arabic" w:hAnsi="Simplified Arabic"/>
          <w:b/>
          <w:bCs/>
          <w:sz w:val="28"/>
          <w:szCs w:val="28"/>
          <w:rtl/>
        </w:rPr>
        <w:t xml:space="preserve">المقترح التشريعي:</w:t>
      </w:r>
      <w:r>
        <w:rPr>
          <w:rFonts w:ascii="Simplified Arabic" w:cs="Simplified Arabic" w:hAnsi="Simplified Arabic"/>
          <w:sz w:val="28"/>
          <w:szCs w:val="28"/>
          <w:rtl/>
        </w:rPr>
        <w:t xml:space="preserve"> نصوص مقترحة لمواد محددة تتصل بالنتائج، لا مشروع قانون شامل. وهي في صورتين:</w:t>
      </w:r>
    </w:p>
    <w:p>
      <w:pPr>
        <w:pStyle w:val="ListParagraph"/>
        <w:numPr>
          <w:ilvl w:val="1"/>
          <w:numId w:val="2"/>
        </w:numPr>
        <w:bidi/>
        <w:spacing w:after="60" w:line="340"/>
        <w:jc w:val="both"/>
      </w:pPr>
      <w:r>
        <w:rPr>
          <w:rFonts w:ascii="Simplified Arabic" w:cs="Simplified Arabic" w:hAnsi="Simplified Arabic"/>
          <w:b/>
          <w:bCs/>
          <w:sz w:val="28"/>
          <w:szCs w:val="28"/>
          <w:rtl/>
        </w:rPr>
        <w:t xml:space="preserve">للمشرع المصري:</w:t>
      </w:r>
      <w:r>
        <w:rPr>
          <w:rFonts w:ascii="Simplified Arabic" w:cs="Simplified Arabic" w:hAnsi="Simplified Arabic"/>
          <w:sz w:val="28"/>
          <w:szCs w:val="28"/>
          <w:rtl/>
        </w:rPr>
        <w:t xml:space="preserve"> تعديلات محددة على القانون رقم 194 لسنة 2020 وعلى قانون إنشاء المحاكم الاقتصادية.</w:t>
      </w:r>
    </w:p>
    <w:p>
      <w:pPr>
        <w:pStyle w:val="ListParagraph"/>
        <w:numPr>
          <w:ilvl w:val="1"/>
          <w:numId w:val="2"/>
        </w:numPr>
        <w:bidi/>
        <w:spacing w:after="60" w:line="340"/>
        <w:jc w:val="both"/>
      </w:pPr>
      <w:r>
        <w:rPr>
          <w:rFonts w:ascii="Simplified Arabic" w:cs="Simplified Arabic" w:hAnsi="Simplified Arabic"/>
          <w:b/>
          <w:bCs/>
          <w:sz w:val="28"/>
          <w:szCs w:val="28"/>
          <w:rtl/>
        </w:rPr>
        <w:t xml:space="preserve">للمشرع القطري:</w:t>
      </w:r>
      <w:r>
        <w:rPr>
          <w:rFonts w:ascii="Simplified Arabic" w:cs="Simplified Arabic" w:hAnsi="Simplified Arabic"/>
          <w:sz w:val="28"/>
          <w:szCs w:val="28"/>
          <w:rtl/>
        </w:rPr>
        <w:t xml:space="preserve"> نصوص أساسية لقانون ينقل تنظيم العملات الرقمية من مستوى التعميم الإداري إلى مستوى القانون.</w:t>
      </w:r>
    </w:p>
    <w:p>
      <w:pPr>
        <w:bidi/>
        <w:spacing w:after="120" w:line="360"/>
        <w:jc w:val="both"/>
      </w:pPr>
      <w:r>
        <w:rPr>
          <w:rFonts w:ascii="Simplified Arabic" w:cs="Simplified Arabic" w:hAnsi="Simplified Arabic"/>
          <w:sz w:val="28"/>
          <w:szCs w:val="28"/>
          <w:rtl/>
        </w:rPr>
        <w:t xml:space="preserve">وتدور النصوص المقترحة حول المحاور الآتية:</w:t>
      </w:r>
    </w:p>
    <w:p>
      <w:pPr>
        <w:pStyle w:val="ListParagraph"/>
        <w:numPr>
          <w:ilvl w:val="1"/>
          <w:numId w:val="2"/>
        </w:numPr>
        <w:bidi/>
        <w:spacing w:after="60" w:line="340"/>
        <w:jc w:val="both"/>
      </w:pPr>
      <w:r>
        <w:rPr>
          <w:rFonts w:ascii="Simplified Arabic" w:cs="Simplified Arabic" w:hAnsi="Simplified Arabic"/>
          <w:sz w:val="28"/>
          <w:szCs w:val="28"/>
          <w:rtl/>
        </w:rPr>
        <w:t xml:space="preserve">أداة التنظيم والجهة المختصة.</w:t>
      </w:r>
    </w:p>
    <w:p>
      <w:pPr>
        <w:pStyle w:val="ListParagraph"/>
        <w:numPr>
          <w:ilvl w:val="1"/>
          <w:numId w:val="2"/>
        </w:numPr>
        <w:bidi/>
        <w:spacing w:after="60" w:line="340"/>
        <w:jc w:val="both"/>
      </w:pPr>
      <w:r>
        <w:rPr>
          <w:rFonts w:ascii="Simplified Arabic" w:cs="Simplified Arabic" w:hAnsi="Simplified Arabic"/>
          <w:sz w:val="28"/>
          <w:szCs w:val="28"/>
          <w:rtl/>
        </w:rPr>
        <w:t xml:space="preserve">حماية قوة الإبراء للعملة الوطنية، والعلاقة بقواعد النقد الأجنبي.</w:t>
      </w:r>
    </w:p>
    <w:p>
      <w:pPr>
        <w:pStyle w:val="ListParagraph"/>
        <w:numPr>
          <w:ilvl w:val="1"/>
          <w:numId w:val="2"/>
        </w:numPr>
        <w:bidi/>
        <w:spacing w:after="60" w:line="340"/>
        <w:jc w:val="both"/>
      </w:pPr>
      <w:r>
        <w:rPr>
          <w:rFonts w:ascii="Simplified Arabic" w:cs="Simplified Arabic" w:hAnsi="Simplified Arabic"/>
          <w:sz w:val="28"/>
          <w:szCs w:val="28"/>
          <w:rtl/>
        </w:rPr>
        <w:t xml:space="preserve">ضوابط العملات المستقرة.</w:t>
      </w:r>
    </w:p>
    <w:p>
      <w:pPr>
        <w:pStyle w:val="ListParagraph"/>
        <w:numPr>
          <w:ilvl w:val="1"/>
          <w:numId w:val="2"/>
        </w:numPr>
        <w:bidi/>
        <w:spacing w:after="60" w:line="340"/>
        <w:jc w:val="both"/>
      </w:pPr>
      <w:r>
        <w:rPr>
          <w:rFonts w:ascii="Simplified Arabic" w:cs="Simplified Arabic" w:hAnsi="Simplified Arabic"/>
          <w:sz w:val="28"/>
          <w:szCs w:val="28"/>
          <w:rtl/>
        </w:rPr>
        <w:t xml:space="preserve">المعاملة الضريبية.</w:t>
      </w:r>
    </w:p>
    <w:p>
      <w:pPr>
        <w:pStyle w:val="ListParagraph"/>
        <w:numPr>
          <w:ilvl w:val="1"/>
          <w:numId w:val="2"/>
        </w:numPr>
        <w:bidi/>
        <w:spacing w:after="60" w:line="340"/>
        <w:jc w:val="both"/>
      </w:pPr>
      <w:r>
        <w:rPr>
          <w:rFonts w:ascii="Simplified Arabic" w:cs="Simplified Arabic" w:hAnsi="Simplified Arabic"/>
          <w:sz w:val="28"/>
          <w:szCs w:val="28"/>
          <w:rtl/>
        </w:rPr>
        <w:t xml:space="preserve">حماية أصول العملاء عند الإعسار.</w:t>
      </w:r>
    </w:p>
    <w:p>
      <w:pPr>
        <w:pStyle w:val="ListParagraph"/>
        <w:numPr>
          <w:ilvl w:val="1"/>
          <w:numId w:val="2"/>
        </w:numPr>
        <w:bidi/>
        <w:spacing w:after="60" w:line="340"/>
        <w:jc w:val="both"/>
      </w:pPr>
      <w:r>
        <w:rPr>
          <w:rFonts w:ascii="Simplified Arabic" w:cs="Simplified Arabic" w:hAnsi="Simplified Arabic"/>
          <w:sz w:val="28"/>
          <w:szCs w:val="28"/>
          <w:rtl/>
        </w:rPr>
        <w:t xml:space="preserve">الاختصاص القضائي والسلطات العلاجية للقاضي.</w:t>
      </w:r>
    </w:p>
    <w:p>
      <w:pPr>
        <w:pStyle w:val="ListParagraph"/>
        <w:numPr>
          <w:ilvl w:val="1"/>
          <w:numId w:val="2"/>
        </w:numPr>
        <w:bidi/>
        <w:spacing w:after="60" w:line="340"/>
        <w:jc w:val="both"/>
      </w:pPr>
      <w:r>
        <w:rPr>
          <w:rFonts w:ascii="Simplified Arabic" w:cs="Simplified Arabic" w:hAnsi="Simplified Arabic"/>
          <w:sz w:val="28"/>
          <w:szCs w:val="28"/>
          <w:rtl/>
        </w:rPr>
        <w:t xml:space="preserve">الأساس القانوني الصريح لإصدار عملة رقمية رسمية.</w:t>
      </w:r>
    </w:p>
    <w:p>
      <w:pPr>
        <w:bidi/>
        <w:spacing w:after="120" w:line="360"/>
        <w:jc w:val="both"/>
      </w:pPr>
      <w:r>
        <w:rPr>
          <w:rFonts w:ascii="Simplified Arabic" w:cs="Simplified Arabic" w:hAnsi="Simplified Arabic"/>
          <w:sz w:val="28"/>
          <w:szCs w:val="28"/>
          <w:rtl/>
        </w:rPr>
        <w:t xml:space="preserve">وتُراعى في صياغتها ضوابط الصياغة التشريعية وصياغة التعريفات.</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رابع عشر: قائمة المراجع الأولية</w:t>
      </w:r>
    </w:p>
    <w:p>
      <w:pPr>
        <w:pStyle w:val="Heading3"/>
        <w:keepNext/>
        <w:bidi/>
        <w:spacing w:after="120" w:before="240"/>
        <w:jc w:val="right"/>
      </w:pPr>
      <w:r>
        <w:rPr>
          <w:rFonts w:ascii="Simplified Arabic" w:cs="Simplified Arabic" w:hAnsi="Simplified Arabic"/>
          <w:b/>
          <w:bCs/>
          <w:color w:val="2E5597"/>
          <w:sz w:val="30"/>
          <w:szCs w:val="30"/>
          <w:rtl/>
        </w:rPr>
        <w:t xml:space="preserve">أولًا: المراجع العربية</w:t>
      </w:r>
    </w:p>
    <w:p>
      <w:pPr>
        <w:pStyle w:val="Heading4"/>
        <w:keepNext/>
        <w:bidi/>
        <w:spacing w:after="120" w:before="240"/>
        <w:jc w:val="right"/>
      </w:pPr>
      <w:r>
        <w:rPr>
          <w:rFonts w:ascii="Simplified Arabic" w:cs="Simplified Arabic" w:hAnsi="Simplified Arabic"/>
          <w:b/>
          <w:bCs/>
          <w:color w:val="2E5597"/>
          <w:sz w:val="28"/>
          <w:szCs w:val="28"/>
          <w:rtl/>
        </w:rPr>
        <w:t xml:space="preserve">(أ) مراجع عامة</w:t>
      </w:r>
    </w:p>
    <w:p>
      <w:pPr>
        <w:bidi/>
        <w:spacing w:after="60" w:line="340"/>
        <w:ind w:start="360" w:hanging="360"/>
        <w:jc w:val="both"/>
      </w:pPr>
      <w:r>
        <w:rPr>
          <w:rFonts w:ascii="Simplified Arabic" w:cs="Simplified Arabic" w:hAnsi="Simplified Arabic"/>
          <w:sz w:val="28"/>
          <w:szCs w:val="28"/>
          <w:rtl/>
        </w:rPr>
        <w:t xml:space="preserve">1. السيد طه بدوي، النقود والبنوك والدخل القومي، جامعة القاهرة، الجيزة، 2007.</w:t>
      </w:r>
    </w:p>
    <w:p>
      <w:pPr>
        <w:bidi/>
        <w:spacing w:after="60" w:line="340"/>
        <w:ind w:start="360" w:hanging="360"/>
        <w:jc w:val="both"/>
      </w:pPr>
      <w:r>
        <w:rPr>
          <w:rFonts w:ascii="Simplified Arabic" w:cs="Simplified Arabic" w:hAnsi="Simplified Arabic"/>
          <w:sz w:val="28"/>
          <w:szCs w:val="28"/>
          <w:rtl/>
        </w:rPr>
        <w:t xml:space="preserve">2. السيد طه بدوي، الاقتصاد النقدي والدولي، الجزء الأول: مقدمة في النقود والبنوك، القاهرة، 2011.</w:t>
      </w:r>
    </w:p>
    <w:p>
      <w:pPr>
        <w:bidi/>
        <w:spacing w:after="60" w:line="340"/>
        <w:ind w:start="360" w:hanging="360"/>
        <w:jc w:val="both"/>
      </w:pPr>
      <w:r>
        <w:rPr>
          <w:rFonts w:ascii="Simplified Arabic" w:cs="Simplified Arabic" w:hAnsi="Simplified Arabic"/>
          <w:sz w:val="28"/>
          <w:szCs w:val="28"/>
          <w:rtl/>
        </w:rPr>
        <w:t xml:space="preserve">3. السيد طه بدوي، التشريعات الاقتصادية وفقاً لأحدث التعديلات التشريعية، ط3، دار النهضة العربية، القاهرة، 2013.</w:t>
      </w:r>
    </w:p>
    <w:p>
      <w:pPr>
        <w:bidi/>
        <w:spacing w:after="60" w:line="340"/>
        <w:ind w:start="360" w:hanging="360"/>
        <w:jc w:val="both"/>
      </w:pPr>
      <w:r>
        <w:rPr>
          <w:rFonts w:ascii="Simplified Arabic" w:cs="Simplified Arabic" w:hAnsi="Simplified Arabic"/>
          <w:sz w:val="28"/>
          <w:szCs w:val="28"/>
          <w:rtl/>
        </w:rPr>
        <w:t xml:space="preserve">4. عبد الرزاق السنهوري، مصادر الحق في الفقه الإسلامي: دراسة مقارنة بالفقه الغربي، الأجزاء 1–6، دار إحياء التراث العربي ومؤسسة التاريخ العربي، بيروت، ط1، د.ت.</w:t>
      </w:r>
    </w:p>
    <w:p>
      <w:pPr>
        <w:bidi/>
        <w:spacing w:after="60" w:line="340"/>
        <w:ind w:start="360" w:hanging="360"/>
        <w:jc w:val="both"/>
      </w:pPr>
      <w:r>
        <w:rPr>
          <w:rFonts w:ascii="Simplified Arabic" w:cs="Simplified Arabic" w:hAnsi="Simplified Arabic"/>
          <w:sz w:val="28"/>
          <w:szCs w:val="28"/>
          <w:rtl/>
        </w:rPr>
        <w:t xml:space="preserve">5. أبو الحسن الماوردي، الأحكام السلطانية والولايات الدينية، مطبعة السعادة، القاهرة، 1327هـ/1909م.</w:t>
      </w:r>
    </w:p>
    <w:p>
      <w:pPr>
        <w:pStyle w:val="Heading4"/>
        <w:keepNext/>
        <w:bidi/>
        <w:spacing w:after="120" w:before="240"/>
        <w:jc w:val="right"/>
      </w:pPr>
      <w:r>
        <w:rPr>
          <w:rFonts w:ascii="Simplified Arabic" w:cs="Simplified Arabic" w:hAnsi="Simplified Arabic"/>
          <w:b/>
          <w:bCs/>
          <w:color w:val="2E5597"/>
          <w:sz w:val="28"/>
          <w:szCs w:val="28"/>
          <w:rtl/>
        </w:rPr>
        <w:t xml:space="preserve">(ب) مراجع متخصصة</w:t>
      </w:r>
    </w:p>
    <w:p>
      <w:pPr>
        <w:bidi/>
        <w:spacing w:after="60" w:line="340"/>
        <w:ind w:start="360" w:hanging="360"/>
        <w:jc w:val="both"/>
      </w:pPr>
      <w:r>
        <w:rPr>
          <w:rFonts w:ascii="Simplified Arabic" w:cs="Simplified Arabic" w:hAnsi="Simplified Arabic"/>
          <w:sz w:val="28"/>
          <w:szCs w:val="28"/>
          <w:rtl/>
        </w:rPr>
        <w:t xml:space="preserve">6. السيد طه بدوي، حق الدولة في الرقابة وحرية السوق في الانطلاق: دراسة تحليلية للأزمة المالية العالمية، دار النهضة العربية، القاهرة، 2011. ونُشر بحثًا في مجلة القانون والاقتصاد، كلية الحقوق، جامعة القاهرة، ع85، 2012، ص787–952.</w:t>
      </w:r>
    </w:p>
    <w:p>
      <w:pPr>
        <w:bidi/>
        <w:spacing w:after="60" w:line="340"/>
        <w:ind w:start="360" w:hanging="360"/>
        <w:jc w:val="both"/>
      </w:pPr>
      <w:r>
        <w:rPr>
          <w:rFonts w:ascii="Simplified Arabic" w:cs="Simplified Arabic" w:hAnsi="Simplified Arabic"/>
          <w:sz w:val="28"/>
          <w:szCs w:val="28"/>
          <w:rtl/>
        </w:rPr>
        <w:t xml:space="preserve">7. السيد طه بدوي، الضريبة على القيمة المضافة وآثارها الاقتصادية: دراسة تحليلية للضريبة العامة على المبيعات في مصر، دار النهضة العربية، القاهرة، 2020.</w:t>
      </w:r>
    </w:p>
    <w:p>
      <w:pPr>
        <w:bidi/>
        <w:spacing w:after="60" w:line="340"/>
        <w:ind w:start="360" w:hanging="360"/>
        <w:jc w:val="both"/>
      </w:pPr>
      <w:r>
        <w:rPr>
          <w:rFonts w:ascii="Simplified Arabic" w:cs="Simplified Arabic" w:hAnsi="Simplified Arabic"/>
          <w:sz w:val="28"/>
          <w:szCs w:val="28"/>
          <w:rtl/>
        </w:rPr>
        <w:t xml:space="preserve">8. محمد جبريل إبراهيم، العملات المشفرة في منظور القانون الجنائي: دراسة مقارنة، ط1، دار النهضة العربية، القاهرة، 2022.</w:t>
      </w:r>
    </w:p>
    <w:p>
      <w:pPr>
        <w:bidi/>
        <w:spacing w:after="60" w:line="340"/>
        <w:ind w:start="360" w:hanging="360"/>
        <w:jc w:val="both"/>
      </w:pPr>
      <w:r>
        <w:rPr>
          <w:rFonts w:ascii="Simplified Arabic" w:cs="Simplified Arabic" w:hAnsi="Simplified Arabic"/>
          <w:sz w:val="28"/>
          <w:szCs w:val="28"/>
          <w:rtl/>
        </w:rPr>
        <w:t xml:space="preserve">9. خالد محمد نور عبد الحميد الطباخ، العملات الافتراضية ودورها في تمويل الإرهاب وغسل الأموال، دار النهضة العربية، القاهرة، 2021.</w:t>
      </w:r>
    </w:p>
    <w:p>
      <w:pPr>
        <w:bidi/>
        <w:spacing w:after="60" w:line="340"/>
        <w:ind w:start="360" w:hanging="360"/>
        <w:jc w:val="both"/>
      </w:pPr>
      <w:r>
        <w:rPr>
          <w:rFonts w:ascii="Simplified Arabic" w:cs="Simplified Arabic" w:hAnsi="Simplified Arabic"/>
          <w:sz w:val="28"/>
          <w:szCs w:val="28"/>
          <w:rtl/>
        </w:rPr>
        <w:t xml:space="preserve">10. فادي توكل، البتكوين والقانون، دار الأهرام، القاهرة، 2021.</w:t>
      </w:r>
    </w:p>
    <w:p>
      <w:pPr>
        <w:bidi/>
        <w:spacing w:after="60" w:line="340"/>
        <w:ind w:start="360" w:hanging="360"/>
        <w:jc w:val="both"/>
      </w:pPr>
      <w:r>
        <w:rPr>
          <w:rFonts w:ascii="Simplified Arabic" w:cs="Simplified Arabic" w:hAnsi="Simplified Arabic"/>
          <w:sz w:val="28"/>
          <w:szCs w:val="28"/>
          <w:rtl/>
        </w:rPr>
        <w:t xml:space="preserve">11. أحمد إبراهيم دهشان، العملات الافتراضية: إشكالياتها وآثارها على الاقتصاد المحلي والعالمي، 2019.</w:t>
      </w:r>
    </w:p>
    <w:p>
      <w:pPr>
        <w:pStyle w:val="Heading4"/>
        <w:keepNext/>
        <w:bidi/>
        <w:spacing w:after="120" w:before="240"/>
        <w:jc w:val="right"/>
      </w:pPr>
      <w:r>
        <w:rPr>
          <w:rFonts w:ascii="Simplified Arabic" w:cs="Simplified Arabic" w:hAnsi="Simplified Arabic"/>
          <w:b/>
          <w:bCs/>
          <w:color w:val="2E5597"/>
          <w:sz w:val="28"/>
          <w:szCs w:val="28"/>
          <w:rtl/>
        </w:rPr>
        <w:t xml:space="preserve">(ج) الرسائل العلمية</w:t>
      </w:r>
    </w:p>
    <w:p>
      <w:pPr>
        <w:bidi/>
        <w:spacing w:after="60" w:line="340"/>
        <w:ind w:start="360" w:hanging="360"/>
        <w:jc w:val="both"/>
      </w:pPr>
      <w:r>
        <w:rPr>
          <w:rFonts w:ascii="Simplified Arabic" w:cs="Simplified Arabic" w:hAnsi="Simplified Arabic"/>
          <w:sz w:val="28"/>
          <w:szCs w:val="28"/>
          <w:rtl/>
        </w:rPr>
        <w:t xml:space="preserve">12. سالي أحمد أحمد طلبه، الأزمات المالية إدارتها ومواجهتها: دراسة تطبيقية للأزمة الاقتصادية العالمية لسنة 2008، رسالة دكتوراه، قسم المالية العامة، كلية الحقوق، جامعة القاهرة، نوقشت في 29/4/2023.</w:t>
      </w:r>
    </w:p>
    <w:p>
      <w:pPr>
        <w:bidi/>
        <w:spacing w:after="60" w:line="340"/>
        <w:ind w:start="360" w:hanging="360"/>
        <w:jc w:val="both"/>
      </w:pPr>
      <w:r>
        <w:rPr>
          <w:rFonts w:ascii="Simplified Arabic" w:cs="Simplified Arabic" w:hAnsi="Simplified Arabic"/>
          <w:sz w:val="28"/>
          <w:szCs w:val="28"/>
          <w:rtl/>
        </w:rPr>
        <w:t xml:space="preserve">13. محمد هذال فراج محمد الزعبي، المواجهة الجنائية لجرائم غسل الأموال عبر العملات الافتراضية المشفرة: البيتكوين نموذجاً، رسالة دكتوراه، كلية الحقوق، جامعة القاهرة، 2023.</w:t>
      </w:r>
    </w:p>
    <w:p>
      <w:pPr>
        <w:bidi/>
        <w:spacing w:after="60" w:line="340"/>
        <w:ind w:start="360" w:hanging="360"/>
        <w:jc w:val="both"/>
      </w:pPr>
      <w:r>
        <w:rPr>
          <w:rFonts w:ascii="Simplified Arabic" w:cs="Simplified Arabic" w:hAnsi="Simplified Arabic"/>
          <w:sz w:val="28"/>
          <w:szCs w:val="28"/>
          <w:rtl/>
        </w:rPr>
        <w:t xml:space="preserve">14. أكرم عبد العليم مشرف، العملات الافتراضية المشفرة من منظور السياسة الجنائية، رسالة دكتوراه، كلية الحقوق، جامعة القاهرة، 2024.</w:t>
      </w:r>
    </w:p>
    <w:p>
      <w:pPr>
        <w:bidi/>
        <w:spacing w:after="60" w:line="340"/>
        <w:ind w:start="360" w:hanging="360"/>
        <w:jc w:val="both"/>
      </w:pPr>
      <w:r>
        <w:rPr>
          <w:rFonts w:ascii="Simplified Arabic" w:cs="Simplified Arabic" w:hAnsi="Simplified Arabic"/>
          <w:sz w:val="28"/>
          <w:szCs w:val="28"/>
          <w:rtl/>
        </w:rPr>
        <w:t xml:space="preserve">15. عبد الرحمن ممدوح حسن عبد الجواد الدش، دور الجهات الرقابية بشأن أدوات الدفع الإلكترونية والحيلولة للحد من مخاطرها: دراسة تحليلية ومقارنة للنموذج المصري ونظيره بالمملكة المتحدة، رسالة دكتوراه، كلية الحقوق، جامعة القاهرة، 2025.</w:t>
      </w:r>
    </w:p>
    <w:p>
      <w:pPr>
        <w:bidi/>
        <w:spacing w:after="60" w:line="340"/>
        <w:ind w:start="360" w:hanging="360"/>
        <w:jc w:val="both"/>
      </w:pPr>
      <w:r>
        <w:rPr>
          <w:rFonts w:ascii="Simplified Arabic" w:cs="Simplified Arabic" w:hAnsi="Simplified Arabic"/>
          <w:sz w:val="28"/>
          <w:szCs w:val="28"/>
          <w:rtl/>
        </w:rPr>
        <w:t xml:space="preserve">16. هبة الله أحمد سالم، النقود الإلكترونية: دراسة في المفهوم، والتنظيم القانوني، والحماية، رسالة دكتوراه، كلية الحقوق، جامعة القاهرة، 2014.</w:t>
      </w:r>
    </w:p>
    <w:p>
      <w:pPr>
        <w:bidi/>
        <w:spacing w:after="60" w:line="340"/>
        <w:ind w:start="360" w:hanging="360"/>
        <w:jc w:val="both"/>
      </w:pPr>
      <w:r>
        <w:rPr>
          <w:rFonts w:ascii="Simplified Arabic" w:cs="Simplified Arabic" w:hAnsi="Simplified Arabic"/>
          <w:sz w:val="28"/>
          <w:szCs w:val="28"/>
          <w:rtl/>
        </w:rPr>
        <w:t xml:space="preserve">17. أحمد عبد العليم رزق العجمي، التطورات التكنولوجية المعاصرة في نظم الدفع الإلكترونية وانعكاساتها على سلطات البنك المركزي، رسالة دكتوراه، كلية الحقوق، جامعة حلوان، 2010.</w:t>
      </w:r>
    </w:p>
    <w:p>
      <w:pPr>
        <w:bidi/>
        <w:spacing w:after="60" w:line="340"/>
        <w:ind w:start="360" w:hanging="360"/>
        <w:jc w:val="both"/>
      </w:pPr>
      <w:r>
        <w:rPr>
          <w:rFonts w:ascii="Simplified Arabic" w:cs="Simplified Arabic" w:hAnsi="Simplified Arabic"/>
          <w:sz w:val="28"/>
          <w:szCs w:val="28"/>
          <w:rtl/>
        </w:rPr>
        <w:t xml:space="preserve">18. هاني البيلي، العملات المشفرة ومستقبل البنوك المركزية، رسالة ماجستير، كلية الحقوق، جامعة دمياط، 2022.</w:t>
      </w:r>
    </w:p>
    <w:p>
      <w:pPr>
        <w:bidi/>
        <w:spacing w:after="60" w:line="340"/>
        <w:ind w:start="360" w:hanging="360"/>
        <w:jc w:val="both"/>
      </w:pPr>
      <w:r>
        <w:rPr>
          <w:rFonts w:ascii="Simplified Arabic" w:cs="Simplified Arabic" w:hAnsi="Simplified Arabic"/>
          <w:sz w:val="28"/>
          <w:szCs w:val="28"/>
          <w:rtl/>
        </w:rPr>
        <w:t xml:space="preserve">19. علي راشد العجمي، المسؤولية الجنائية عن جرائم غسل الأموال باستخدام العملات الافتراضية، رسالة ماجستير، جامعة قطر، 2025.</w:t>
      </w:r>
    </w:p>
    <w:p>
      <w:pPr>
        <w:bidi/>
        <w:spacing w:after="60" w:line="340"/>
        <w:ind w:start="360" w:hanging="360"/>
        <w:jc w:val="both"/>
      </w:pPr>
      <w:r>
        <w:rPr>
          <w:rFonts w:ascii="Simplified Arabic" w:cs="Simplified Arabic" w:hAnsi="Simplified Arabic"/>
          <w:sz w:val="28"/>
          <w:szCs w:val="28"/>
          <w:rtl/>
        </w:rPr>
        <w:t xml:space="preserve">20. محمد متعب محمد آل حباب الهاجري، جرائم غسل الأموال عبر الوسائط الإلكترونية في القانون القطري: دراسة مقارنة، رسالة ماجستير، جامعة قطر، 2026.</w:t>
      </w:r>
    </w:p>
    <w:p>
      <w:pPr>
        <w:bidi/>
        <w:spacing w:after="60" w:line="340"/>
        <w:ind w:start="360" w:hanging="360"/>
        <w:jc w:val="both"/>
      </w:pPr>
      <w:r>
        <w:rPr>
          <w:rFonts w:ascii="Simplified Arabic" w:cs="Simplified Arabic" w:hAnsi="Simplified Arabic"/>
          <w:sz w:val="28"/>
          <w:szCs w:val="28"/>
          <w:rtl/>
        </w:rPr>
        <w:t xml:space="preserve">21. هشام تبحار، منصات التمويل اللامركزي: دراسة فقهية مقاصدية، رسالة ماجستير، جامعة قطر، 2025.</w:t>
      </w:r>
    </w:p>
    <w:p>
      <w:pPr>
        <w:bidi/>
        <w:spacing w:after="60" w:line="340"/>
        <w:ind w:start="360" w:hanging="360"/>
        <w:jc w:val="both"/>
      </w:pPr>
      <w:r>
        <w:rPr>
          <w:rFonts w:ascii="Simplified Arabic" w:cs="Simplified Arabic" w:hAnsi="Simplified Arabic"/>
          <w:sz w:val="28"/>
          <w:szCs w:val="28"/>
          <w:rtl/>
        </w:rPr>
        <w:t xml:space="preserve">22. إسماعيل أنس الكيلاني، الحسابات والأصول الرقمية بين التوريث والإنهاء، رسالة ماجستير، جامعة قطر، 2022.</w:t>
      </w:r>
    </w:p>
    <w:p>
      <w:pPr>
        <w:pStyle w:val="Heading4"/>
        <w:keepNext/>
        <w:bidi/>
        <w:spacing w:after="120" w:before="240"/>
        <w:jc w:val="right"/>
      </w:pPr>
      <w:r>
        <w:rPr>
          <w:rFonts w:ascii="Simplified Arabic" w:cs="Simplified Arabic" w:hAnsi="Simplified Arabic"/>
          <w:b/>
          <w:bCs/>
          <w:color w:val="2E5597"/>
          <w:sz w:val="28"/>
          <w:szCs w:val="28"/>
          <w:rtl/>
        </w:rPr>
        <w:t xml:space="preserve">(د) الأبحاث والمقالات</w:t>
      </w:r>
    </w:p>
    <w:p>
      <w:pPr>
        <w:bidi/>
        <w:spacing w:after="60" w:line="340"/>
        <w:ind w:start="360" w:hanging="360"/>
        <w:jc w:val="both"/>
      </w:pPr>
      <w:r>
        <w:rPr>
          <w:rFonts w:ascii="Simplified Arabic" w:cs="Simplified Arabic" w:hAnsi="Simplified Arabic"/>
          <w:sz w:val="28"/>
          <w:szCs w:val="28"/>
          <w:rtl/>
        </w:rPr>
        <w:t xml:space="preserve">23. حسين السيد حسين، «العملات المشفرة (البلوك تشين) التحديات والمخاطر: دراسة المنازعات المصرفية بالمملكة العربية السعودية أنموذجاً»، مجلة القانون والاقتصاد، كلية الحقوق، جامعة القاهرة، ملحق العدد 93، 2020، ص11–50.</w:t>
      </w:r>
    </w:p>
    <w:p>
      <w:pPr>
        <w:bidi/>
        <w:spacing w:after="60" w:line="340"/>
        <w:ind w:start="360" w:hanging="360"/>
        <w:jc w:val="both"/>
      </w:pPr>
      <w:r>
        <w:rPr>
          <w:rFonts w:ascii="Simplified Arabic" w:cs="Simplified Arabic" w:hAnsi="Simplified Arabic"/>
          <w:sz w:val="28"/>
          <w:szCs w:val="28"/>
          <w:rtl/>
        </w:rPr>
        <w:t xml:space="preserve">24. أشرف توفيق شمس الدين، «مخاطر العملات الافتراضية في نظر السياسة الجنائية»، مجلة مصر المعاصرة، الجمعية المصرية للاقتصاد السياسي والإحصاء والتشريع، يوليو 2019.</w:t>
      </w:r>
    </w:p>
    <w:p>
      <w:pPr>
        <w:bidi/>
        <w:spacing w:after="60" w:line="340"/>
        <w:ind w:start="360" w:hanging="360"/>
        <w:jc w:val="both"/>
      </w:pPr>
      <w:r>
        <w:rPr>
          <w:rFonts w:ascii="Simplified Arabic" w:cs="Simplified Arabic" w:hAnsi="Simplified Arabic"/>
          <w:sz w:val="28"/>
          <w:szCs w:val="28"/>
          <w:rtl/>
        </w:rPr>
        <w:t xml:space="preserve">25. محمد جبريل إبراهيم، «جريمة التعامل في العملات المشفرة أو النقود الرقمية: دراسة مقارنة»، مجلة البحوث القانونية والاقتصادية، كلية الحقوق، جامعة المنصورة، ع79، 2022، ص1017–1101.</w:t>
      </w:r>
    </w:p>
    <w:p>
      <w:pPr>
        <w:bidi/>
        <w:spacing w:after="60" w:line="340"/>
        <w:ind w:start="360" w:hanging="360"/>
        <w:jc w:val="both"/>
      </w:pPr>
      <w:r>
        <w:rPr>
          <w:rFonts w:ascii="Simplified Arabic" w:cs="Simplified Arabic" w:hAnsi="Simplified Arabic"/>
          <w:sz w:val="28"/>
          <w:szCs w:val="28"/>
          <w:rtl/>
        </w:rPr>
        <w:t xml:space="preserve">26. رامي متولي القاضي، «المواجهة الجنائية لجرائم العملات الرقمية المشفرة والذكاء الاصطناعي: دراسة تحليلية في التشريع المصري والمقارن»، مجلة الشريعة والقانون، جامعة الإمارات العربية المتحدة، مج36، ع89، يناير 2022، ص253–330.</w:t>
      </w:r>
    </w:p>
    <w:p>
      <w:pPr>
        <w:bidi/>
        <w:spacing w:after="60" w:line="340"/>
        <w:ind w:start="360" w:hanging="360"/>
        <w:jc w:val="both"/>
      </w:pPr>
      <w:r>
        <w:rPr>
          <w:rFonts w:ascii="Simplified Arabic" w:cs="Simplified Arabic" w:hAnsi="Simplified Arabic"/>
          <w:sz w:val="28"/>
          <w:szCs w:val="28"/>
          <w:rtl/>
        </w:rPr>
        <w:t xml:space="preserve">27. خالد محمد نور عبد الحميد الطباخ، «المواجهة الجنائية لاستخدام العملات المشفرة في تمويل الإرهاب»، مجلة القانون والتكنولوجيا، الجامعة البريطانية في مصر، مج2، ع2، 2022، ص79–152.</w:t>
      </w:r>
    </w:p>
    <w:p>
      <w:pPr>
        <w:bidi/>
        <w:spacing w:after="60" w:line="340"/>
        <w:ind w:start="360" w:hanging="360"/>
        <w:jc w:val="both"/>
      </w:pPr>
      <w:r>
        <w:rPr>
          <w:rFonts w:ascii="Simplified Arabic" w:cs="Simplified Arabic" w:hAnsi="Simplified Arabic"/>
          <w:sz w:val="28"/>
          <w:szCs w:val="28"/>
          <w:rtl/>
        </w:rPr>
        <w:t xml:space="preserve">28. محمد مطلق عساف، «العملات المشفرة في ضوء مقاصد الشريعة الإسلامية (عملة Bitcoin أنموذجًا)»، مجلة كلية الشريعة والدراسات الإسلامية، جامعة قطر، مج36، ع2، 2019، ص161–170.</w:t>
      </w:r>
    </w:p>
    <w:p>
      <w:pPr>
        <w:bidi/>
        <w:spacing w:after="60" w:line="340"/>
        <w:ind w:start="360" w:hanging="360"/>
        <w:jc w:val="both"/>
      </w:pPr>
      <w:r>
        <w:rPr>
          <w:rFonts w:ascii="Simplified Arabic" w:cs="Simplified Arabic" w:hAnsi="Simplified Arabic"/>
          <w:sz w:val="28"/>
          <w:szCs w:val="28"/>
          <w:rtl/>
        </w:rPr>
        <w:t xml:space="preserve">29. هيثم فضل الله (Haïssam Fadlallah)، «Technical and legal framework of Initial coin offerings»، المجلة الدولية للقانون، جامعة قطر، مج12، ع1، 2023.</w:t>
      </w:r>
    </w:p>
    <w:p>
      <w:pPr>
        <w:bidi/>
        <w:spacing w:after="60" w:line="340"/>
        <w:ind w:start="360" w:hanging="360"/>
        <w:jc w:val="both"/>
      </w:pPr>
      <w:r>
        <w:rPr>
          <w:rFonts w:ascii="Simplified Arabic" w:cs="Simplified Arabic" w:hAnsi="Simplified Arabic"/>
          <w:sz w:val="28"/>
          <w:szCs w:val="28"/>
          <w:rtl/>
        </w:rPr>
        <w:t xml:space="preserve">30. شاكر المزوغي، «خصوصية فض المنازعات الناشئة داخل أسواق الأوراق المالية في القانون القطري»، مجلة الدراسات القانونية والأمنية، كلية الشرطة، قطر، مج2، ع2، يوليو 2022، ص7–25.</w:t>
      </w:r>
    </w:p>
    <w:p>
      <w:pPr>
        <w:bidi/>
        <w:spacing w:after="60" w:line="340"/>
        <w:ind w:start="360" w:hanging="360"/>
        <w:jc w:val="both"/>
      </w:pPr>
      <w:r>
        <w:rPr>
          <w:rFonts w:ascii="Simplified Arabic" w:cs="Simplified Arabic" w:hAnsi="Simplified Arabic"/>
          <w:sz w:val="28"/>
          <w:szCs w:val="28"/>
          <w:rtl/>
        </w:rPr>
        <w:t xml:space="preserve">31. سارة علي الصلابي، «الرقابة الدستورية على الانحراف التشريعي الغائي السلبي: دراسة في أحكام القضاء الدستوري في مصر ونماذج من التشريع القطري»، المجلة الدولية للقانون، جامعة قطر، مج14، ع1، 2025، doi: 10.29117/irl.2025.0317.</w:t>
      </w:r>
    </w:p>
    <w:p>
      <w:pPr>
        <w:bidi/>
        <w:spacing w:after="60" w:line="340"/>
        <w:ind w:start="360" w:hanging="360"/>
        <w:jc w:val="both"/>
      </w:pPr>
      <w:r>
        <w:rPr>
          <w:rFonts w:ascii="Simplified Arabic" w:cs="Simplified Arabic" w:hAnsi="Simplified Arabic"/>
          <w:sz w:val="28"/>
          <w:szCs w:val="28"/>
          <w:rtl/>
        </w:rPr>
        <w:t xml:space="preserve">32. آمنة محمد الخاطر ومهند مختار نوح، «الدور التشريعي للسلطة التنفيذية في ظل الدستور القطري: دراسة مقارنة»، QScience Connect، 2020(1):4، دار نشر جامعة قطر.</w:t>
      </w:r>
    </w:p>
    <w:p>
      <w:pPr>
        <w:bidi/>
        <w:spacing w:after="60" w:line="340"/>
        <w:ind w:start="360" w:hanging="360"/>
        <w:jc w:val="both"/>
      </w:pPr>
      <w:r>
        <w:rPr>
          <w:rFonts w:ascii="Simplified Arabic" w:cs="Simplified Arabic" w:hAnsi="Simplified Arabic"/>
          <w:sz w:val="28"/>
          <w:szCs w:val="28"/>
          <w:rtl/>
        </w:rPr>
        <w:t xml:space="preserve">33. حمد حامد آل مايقة الحبابي، «الاختصاص بتفسير النصوص الدستورية في القانون المقارن ومعوقاته في القانون القطري»، مجلة الدراسات القانونية والأمنية، كلية الشرطة، مج3، ع2، يوليو 2023.</w:t>
      </w:r>
    </w:p>
    <w:p>
      <w:pPr>
        <w:bidi/>
        <w:spacing w:after="60" w:line="340"/>
        <w:ind w:start="360" w:hanging="360"/>
        <w:jc w:val="both"/>
      </w:pPr>
      <w:r>
        <w:rPr>
          <w:rFonts w:ascii="Simplified Arabic" w:cs="Simplified Arabic" w:hAnsi="Simplified Arabic"/>
          <w:sz w:val="28"/>
          <w:szCs w:val="28"/>
          <w:rtl/>
        </w:rPr>
        <w:t xml:space="preserve">34. سونيا ملاك، «الصياغة التشريعية في القانون القطري: قراءة في ضوابط صياغة النصوص القانونية»، مجلة الدراسات القانونية والأمنية، كلية الشرطة، مج1، ع1، يوليو 2021.</w:t>
      </w:r>
    </w:p>
    <w:p>
      <w:pPr>
        <w:pStyle w:val="Heading4"/>
        <w:keepNext/>
        <w:bidi/>
        <w:spacing w:after="120" w:before="240"/>
        <w:jc w:val="right"/>
      </w:pPr>
      <w:r>
        <w:rPr>
          <w:rFonts w:ascii="Simplified Arabic" w:cs="Simplified Arabic" w:hAnsi="Simplified Arabic"/>
          <w:b/>
          <w:bCs/>
          <w:color w:val="2E5597"/>
          <w:sz w:val="28"/>
          <w:szCs w:val="28"/>
          <w:rtl/>
        </w:rPr>
        <w:t xml:space="preserve">(هـ) الفتاوى وقرارات المجامع الفقهية</w:t>
      </w:r>
    </w:p>
    <w:p>
      <w:pPr>
        <w:bidi/>
        <w:spacing w:after="60" w:line="340"/>
        <w:ind w:start="360" w:hanging="360"/>
        <w:jc w:val="both"/>
      </w:pPr>
      <w:r>
        <w:rPr>
          <w:rFonts w:ascii="Simplified Arabic" w:cs="Simplified Arabic" w:hAnsi="Simplified Arabic"/>
          <w:sz w:val="28"/>
          <w:szCs w:val="28"/>
          <w:rtl/>
        </w:rPr>
        <w:t xml:space="preserve">35. دار الإفتاء المصرية، الفتوى رقم 4205، «حكم تداول عملة البيتكوين والتعامل بها»، 28 ديسمبر 2017.</w:t>
      </w:r>
    </w:p>
    <w:p>
      <w:pPr>
        <w:bidi/>
        <w:spacing w:after="60" w:line="340"/>
        <w:ind w:start="360" w:hanging="360"/>
        <w:jc w:val="both"/>
      </w:pPr>
      <w:r>
        <w:rPr>
          <w:rFonts w:ascii="Simplified Arabic" w:cs="Simplified Arabic" w:hAnsi="Simplified Arabic"/>
          <w:sz w:val="28"/>
          <w:szCs w:val="28"/>
          <w:rtl/>
        </w:rPr>
        <w:t xml:space="preserve">36. مجمع الفقه الإسلامي الدولي، القرار رقم 230 (24/1) بشأن العقود الذكية: كيفية تفعيلها وفسخها، الدورة الرابعة والعشرون، دبي، 4–6 نوفمبر 2019.</w:t>
      </w:r>
    </w:p>
    <w:p>
      <w:pPr>
        <w:bidi/>
        <w:spacing w:after="60" w:line="340"/>
        <w:ind w:start="360" w:hanging="360"/>
        <w:jc w:val="both"/>
      </w:pPr>
      <w:r>
        <w:rPr>
          <w:rFonts w:ascii="Simplified Arabic" w:cs="Simplified Arabic" w:hAnsi="Simplified Arabic"/>
          <w:sz w:val="28"/>
          <w:szCs w:val="28"/>
          <w:rtl/>
        </w:rPr>
        <w:t xml:space="preserve">37. مجمع الفقه الإسلامي الدولي، القرار رقم 231 (24/2) بشأن التضخم وتغير قيمة العملة، الدورة الرابعة والعشرون، دبي، 2019.</w:t>
      </w:r>
    </w:p>
    <w:p>
      <w:pPr>
        <w:pStyle w:val="Heading3"/>
        <w:keepNext/>
        <w:bidi/>
        <w:spacing w:after="120" w:before="240"/>
        <w:jc w:val="right"/>
      </w:pPr>
      <w:r>
        <w:rPr>
          <w:rFonts w:ascii="Simplified Arabic" w:cs="Simplified Arabic" w:hAnsi="Simplified Arabic"/>
          <w:b/>
          <w:bCs/>
          <w:color w:val="2E5597"/>
          <w:sz w:val="30"/>
          <w:szCs w:val="30"/>
          <w:rtl/>
        </w:rPr>
        <w:t xml:space="preserve">ثانيًا: التشريعات والوثائق الرسمية</w:t>
      </w:r>
    </w:p>
    <w:p>
      <w:pPr>
        <w:pStyle w:val="Heading4"/>
        <w:keepNext/>
        <w:bidi/>
        <w:spacing w:after="120" w:before="240"/>
        <w:jc w:val="right"/>
      </w:pPr>
      <w:r>
        <w:rPr>
          <w:rFonts w:ascii="Simplified Arabic" w:cs="Simplified Arabic" w:hAnsi="Simplified Arabic"/>
          <w:b/>
          <w:bCs/>
          <w:color w:val="2E5597"/>
          <w:sz w:val="28"/>
          <w:szCs w:val="28"/>
          <w:rtl/>
        </w:rPr>
        <w:t xml:space="preserve">(أ) جمهورية مصر العربية</w:t>
      </w:r>
    </w:p>
    <w:p>
      <w:pPr>
        <w:bidi/>
        <w:spacing w:after="60" w:line="340"/>
        <w:ind w:start="360" w:hanging="360"/>
        <w:jc w:val="both"/>
      </w:pPr>
      <w:r>
        <w:rPr>
          <w:rFonts w:ascii="Simplified Arabic" w:cs="Simplified Arabic" w:hAnsi="Simplified Arabic"/>
          <w:sz w:val="28"/>
          <w:szCs w:val="28"/>
          <w:rtl/>
        </w:rPr>
        <w:t xml:space="preserve">38. دستور جمهورية مصر العربية الصادر سنة 2014 والمعدل سنة 2019، المواد (35) و(38) و(95) و(215) و(220).</w:t>
      </w:r>
    </w:p>
    <w:p>
      <w:pPr>
        <w:bidi/>
        <w:spacing w:after="60" w:line="340"/>
        <w:ind w:start="360" w:hanging="360"/>
        <w:jc w:val="both"/>
      </w:pPr>
      <w:r>
        <w:rPr>
          <w:rFonts w:ascii="Simplified Arabic" w:cs="Simplified Arabic" w:hAnsi="Simplified Arabic"/>
          <w:sz w:val="28"/>
          <w:szCs w:val="28"/>
          <w:rtl/>
        </w:rPr>
        <w:t xml:space="preserve">39. القانون المدني الصادر بالقانون رقم 131 لسنة 1948.</w:t>
      </w:r>
    </w:p>
    <w:p>
      <w:pPr>
        <w:bidi/>
        <w:spacing w:after="60" w:line="340"/>
        <w:ind w:start="360" w:hanging="360"/>
        <w:jc w:val="both"/>
      </w:pPr>
      <w:r>
        <w:rPr>
          <w:rFonts w:ascii="Simplified Arabic" w:cs="Simplified Arabic" w:hAnsi="Simplified Arabic"/>
          <w:sz w:val="28"/>
          <w:szCs w:val="28"/>
          <w:rtl/>
        </w:rPr>
        <w:t xml:space="preserve">40. قانون المرافعات المدنية والتجارية الصادر بالقانون رقم 13 لسنة 1968.</w:t>
      </w:r>
    </w:p>
    <w:p>
      <w:pPr>
        <w:bidi/>
        <w:spacing w:after="60" w:line="340"/>
        <w:ind w:start="360" w:hanging="360"/>
        <w:jc w:val="both"/>
      </w:pPr>
      <w:r>
        <w:rPr>
          <w:rFonts w:ascii="Simplified Arabic" w:cs="Simplified Arabic" w:hAnsi="Simplified Arabic"/>
          <w:sz w:val="28"/>
          <w:szCs w:val="28"/>
          <w:rtl/>
        </w:rPr>
        <w:t xml:space="preserve">41. قانون البنك المركزي والجهاز المصرفي الصادر بالقانون رقم 194 لسنة 2020، الجريدة الرسمية، العدد 37 مكرر (و)، 15 سبتمبر 2020. ولا سيما المواضع الآتية: الباب الرابع، الفصل الثاني «التكنولوجيا المالية»؛ والباب الخامس «تنظيم التعامل في النقد الأجنبي» (المواد 207–215)؛ والمواد (218–225) و(233) و(238) و(241).</w:t>
      </w:r>
    </w:p>
    <w:p>
      <w:pPr>
        <w:bidi/>
        <w:spacing w:after="60" w:line="340"/>
        <w:ind w:start="360" w:hanging="360"/>
        <w:jc w:val="both"/>
      </w:pPr>
      <w:r>
        <w:rPr>
          <w:rFonts w:ascii="Simplified Arabic" w:cs="Simplified Arabic" w:hAnsi="Simplified Arabic"/>
          <w:sz w:val="28"/>
          <w:szCs w:val="28"/>
          <w:rtl/>
        </w:rPr>
        <w:t xml:space="preserve">42. قانون مكافحة غسل الأموال الصادر بالقانون رقم 80 لسنة 2002، المعدل بالقانون رقم 17 لسنة 2020 (الجريدة الرسمية، العدد 10 مكرر (ب)، 11 مارس 2020) وبالقانون رقم 154 لسنة 2022 (الجريدة الرسمية، العدد 30 تابع (أ)، 28 يوليو 2022).</w:t>
      </w:r>
    </w:p>
    <w:p>
      <w:pPr>
        <w:bidi/>
        <w:spacing w:after="60" w:line="340"/>
        <w:ind w:start="360" w:hanging="360"/>
        <w:jc w:val="both"/>
      </w:pPr>
      <w:r>
        <w:rPr>
          <w:rFonts w:ascii="Simplified Arabic" w:cs="Simplified Arabic" w:hAnsi="Simplified Arabic"/>
          <w:sz w:val="28"/>
          <w:szCs w:val="28"/>
          <w:rtl/>
        </w:rPr>
        <w:t xml:space="preserve">43. قانون إنشاء المحاكم الاقتصادية الصادر بالقانون رقم 120 لسنة 2008، المعدل بالقانون رقم 146 لسنة 2019 وبالقانون رقم 156 لسنة 2024 (الجريدة الرسمية، العدد 27 مكرر (د)، 10 يوليو 2024).</w:t>
      </w:r>
    </w:p>
    <w:p>
      <w:pPr>
        <w:bidi/>
        <w:spacing w:after="60" w:line="340"/>
        <w:ind w:start="360" w:hanging="360"/>
        <w:jc w:val="both"/>
      </w:pPr>
      <w:r>
        <w:rPr>
          <w:rFonts w:ascii="Simplified Arabic" w:cs="Simplified Arabic" w:hAnsi="Simplified Arabic"/>
          <w:sz w:val="28"/>
          <w:szCs w:val="28"/>
          <w:rtl/>
        </w:rPr>
        <w:t xml:space="preserve">44. القانون رقم 5 لسنة 2022 بإصدار قانون تنظيم وتنمية استخدام التكنولوجيا المالية في الأنشطة المالية غير المصرفية.</w:t>
      </w:r>
    </w:p>
    <w:p>
      <w:pPr>
        <w:bidi/>
        <w:spacing w:after="60" w:line="340"/>
        <w:ind w:start="360" w:hanging="360"/>
        <w:jc w:val="both"/>
      </w:pPr>
      <w:r>
        <w:rPr>
          <w:rFonts w:ascii="Simplified Arabic" w:cs="Simplified Arabic" w:hAnsi="Simplified Arabic"/>
          <w:sz w:val="28"/>
          <w:szCs w:val="28"/>
          <w:rtl/>
        </w:rPr>
        <w:t xml:space="preserve">45. القانون رقم 175 لسنة 2018 في شأن مكافحة جرائم تقنية المعلومات، ولائحته التنفيذية الصادرة بقرار رئيس مجلس الوزراء رقم 1699 لسنة 2020.</w:t>
      </w:r>
    </w:p>
    <w:p>
      <w:pPr>
        <w:bidi/>
        <w:spacing w:after="60" w:line="340"/>
        <w:ind w:start="360" w:hanging="360"/>
        <w:jc w:val="both"/>
      </w:pPr>
      <w:r>
        <w:rPr>
          <w:rFonts w:ascii="Simplified Arabic" w:cs="Simplified Arabic" w:hAnsi="Simplified Arabic"/>
          <w:sz w:val="28"/>
          <w:szCs w:val="28"/>
          <w:rtl/>
        </w:rPr>
        <w:t xml:space="preserve">46. القانون رقم 15 لسنة 2004 بتنظيم التوقيع الإلكتروني وبإنشاء هيئة تنمية صناعة تكنولوجيا المعلومات.</w:t>
      </w:r>
    </w:p>
    <w:p>
      <w:pPr>
        <w:bidi/>
        <w:spacing w:after="60" w:line="340"/>
        <w:ind w:start="360" w:hanging="360"/>
        <w:jc w:val="both"/>
      </w:pPr>
      <w:r>
        <w:rPr>
          <w:rFonts w:ascii="Simplified Arabic" w:cs="Simplified Arabic" w:hAnsi="Simplified Arabic"/>
          <w:sz w:val="28"/>
          <w:szCs w:val="28"/>
          <w:rtl/>
        </w:rPr>
        <w:t xml:space="preserve">47. قانون الضريبة على القيمة المضافة الصادر بالقانون رقم 67 لسنة 2016 وتعديلاته، ومنها القانون رقم 157 لسنة 2025.</w:t>
      </w:r>
    </w:p>
    <w:p>
      <w:pPr>
        <w:bidi/>
        <w:spacing w:after="60" w:line="340"/>
        <w:ind w:start="360" w:hanging="360"/>
        <w:jc w:val="both"/>
      </w:pPr>
      <w:r>
        <w:rPr>
          <w:rFonts w:ascii="Simplified Arabic" w:cs="Simplified Arabic" w:hAnsi="Simplified Arabic"/>
          <w:sz w:val="28"/>
          <w:szCs w:val="28"/>
          <w:rtl/>
        </w:rPr>
        <w:t xml:space="preserve">48. البنك المركزي المصري: التحذير من التعامل في العملات الافتراضية (يناير 2018)؛ وبيان التأكيد على حظر التعامل في العملات المشفرة (مارس 2021)؛ والبيان التحذيري الصادر في 8 مارس 2023.</w:t>
      </w:r>
    </w:p>
    <w:p>
      <w:pPr>
        <w:bidi/>
        <w:spacing w:after="60" w:line="340"/>
        <w:ind w:start="360" w:hanging="360"/>
        <w:jc w:val="both"/>
      </w:pPr>
      <w:r>
        <w:rPr>
          <w:rFonts w:ascii="Simplified Arabic" w:cs="Simplified Arabic" w:hAnsi="Simplified Arabic"/>
          <w:sz w:val="28"/>
          <w:szCs w:val="28"/>
          <w:rtl/>
        </w:rPr>
        <w:t xml:space="preserve">49. الهيئة العامة للرقابة المالية: التحذير من التعامل في العملات المشفرة وعمليات الطرح الأولي للعملات، 20 يوليو 2022؛ وقرار الموافقة المبدئية على انضمام مشروع لترميز وحدات صندوق سوق نقدي إلى المختبر التنظيمي، 29 أغسطس 2026.</w:t>
      </w:r>
    </w:p>
    <w:p>
      <w:pPr>
        <w:pStyle w:val="Heading4"/>
        <w:keepNext/>
        <w:bidi/>
        <w:spacing w:after="120" w:before="240"/>
        <w:jc w:val="right"/>
      </w:pPr>
      <w:r>
        <w:rPr>
          <w:rFonts w:ascii="Simplified Arabic" w:cs="Simplified Arabic" w:hAnsi="Simplified Arabic"/>
          <w:b/>
          <w:bCs/>
          <w:color w:val="2E5597"/>
          <w:sz w:val="28"/>
          <w:szCs w:val="28"/>
          <w:rtl/>
        </w:rPr>
        <w:t xml:space="preserve">(ب) دولة قطر</w:t>
      </w:r>
    </w:p>
    <w:p>
      <w:pPr>
        <w:bidi/>
        <w:spacing w:after="60" w:line="340"/>
        <w:ind w:start="360" w:hanging="360"/>
        <w:jc w:val="both"/>
      </w:pPr>
      <w:r>
        <w:rPr>
          <w:rFonts w:ascii="Simplified Arabic" w:cs="Simplified Arabic" w:hAnsi="Simplified Arabic"/>
          <w:sz w:val="28"/>
          <w:szCs w:val="28"/>
          <w:rtl/>
        </w:rPr>
        <w:t xml:space="preserve">50. الدستور الدائم لدولة قطر لسنة 2004 (الطبعة الرسمية 2024)، المواد (4) و(27) و(40) و(43) و(55) و(135).</w:t>
      </w:r>
    </w:p>
    <w:p>
      <w:pPr>
        <w:bidi/>
        <w:spacing w:after="60" w:line="340"/>
        <w:ind w:start="360" w:hanging="360"/>
        <w:jc w:val="both"/>
      </w:pPr>
      <w:r>
        <w:rPr>
          <w:rFonts w:ascii="Simplified Arabic" w:cs="Simplified Arabic" w:hAnsi="Simplified Arabic"/>
          <w:sz w:val="28"/>
          <w:szCs w:val="28"/>
          <w:rtl/>
        </w:rPr>
        <w:t xml:space="preserve">51. القانون رقم (13) لسنة 2012 بإصدار قانون مصرف قطر المركزي وتنظيم المؤسسات المالية.</w:t>
      </w:r>
    </w:p>
    <w:p>
      <w:pPr>
        <w:bidi/>
        <w:spacing w:after="60" w:line="340"/>
        <w:ind w:start="360" w:hanging="360"/>
        <w:jc w:val="both"/>
      </w:pPr>
      <w:r>
        <w:rPr>
          <w:rFonts w:ascii="Simplified Arabic" w:cs="Simplified Arabic" w:hAnsi="Simplified Arabic"/>
          <w:sz w:val="28"/>
          <w:szCs w:val="28"/>
          <w:rtl/>
        </w:rPr>
        <w:t xml:space="preserve">52. القانون رقم (7) لسنة 2005 بشأن مركز قطر للمال.</w:t>
      </w:r>
    </w:p>
    <w:p>
      <w:pPr>
        <w:bidi/>
        <w:spacing w:after="60" w:line="340"/>
        <w:ind w:start="360" w:hanging="360"/>
        <w:jc w:val="both"/>
      </w:pPr>
      <w:r>
        <w:rPr>
          <w:rFonts w:ascii="Simplified Arabic" w:cs="Simplified Arabic" w:hAnsi="Simplified Arabic"/>
          <w:sz w:val="28"/>
          <w:szCs w:val="28"/>
          <w:rtl/>
        </w:rPr>
        <w:t xml:space="preserve">53. القانون رقم (8) لسنة 2012 بشأن هيئة قطر للأسواق المالية؛ والقانون رقم (33) لسنة 2005 بشأن هيئة قطر للأسواق المالية، وفق النص المنشور بموسوعة المجلس الأعلى للقضاء.</w:t>
      </w:r>
    </w:p>
    <w:p>
      <w:pPr>
        <w:bidi/>
        <w:spacing w:after="60" w:line="340"/>
        <w:ind w:start="360" w:hanging="360"/>
        <w:jc w:val="both"/>
      </w:pPr>
      <w:r>
        <w:rPr>
          <w:rFonts w:ascii="Simplified Arabic" w:cs="Simplified Arabic" w:hAnsi="Simplified Arabic"/>
          <w:sz w:val="28"/>
          <w:szCs w:val="28"/>
          <w:rtl/>
        </w:rPr>
        <w:t xml:space="preserve">54. مصرف قطر المركزي، التعميم رقم (6) لسنة 2018 بشأن التعامل بعملة البتكوين، مشار إليه في ورقة التشاور CP 2023/03 (الفقرتان 3.1.2 و4.1.1)؛ والتعميم رقم (46) لسنة 2019 بشأن الأصول الافتراضية ومزودي خدماتها، مشار إليه في: Al Tamimi &amp; Company, «Qatar Central Bank warning – Virtual Asset / Exchange», 25 May 2022.</w:t>
      </w:r>
    </w:p>
    <w:p>
      <w:pPr>
        <w:bidi/>
        <w:spacing w:after="60" w:line="340"/>
        <w:ind w:start="360" w:hanging="360"/>
        <w:jc w:val="both"/>
      </w:pPr>
      <w:r>
        <w:rPr>
          <w:rFonts w:ascii="Simplified Arabic" w:cs="Simplified Arabic" w:hAnsi="Simplified Arabic"/>
          <w:sz w:val="28"/>
          <w:szCs w:val="28"/>
          <w:rtl/>
        </w:rPr>
        <w:t xml:space="preserve">55. Qatar Financial Centre, Digital Asset Regulations 2024 (لائحة الأصول الرقمية لمركز قطر للمال لسنة 2024)، صادرة عن وزير التجارة والصناعة، موقعة في 1 سبتمبر 2024.</w:t>
      </w:r>
    </w:p>
    <w:p>
      <w:pPr>
        <w:bidi/>
        <w:spacing w:after="60" w:line="340"/>
        <w:ind w:start="360" w:hanging="360"/>
        <w:jc w:val="both"/>
      </w:pPr>
      <w:r>
        <w:rPr>
          <w:rFonts w:ascii="Simplified Arabic" w:cs="Simplified Arabic" w:hAnsi="Simplified Arabic"/>
          <w:sz w:val="28"/>
          <w:szCs w:val="28"/>
          <w:rtl/>
        </w:rPr>
        <w:t xml:space="preserve">56. QFCRA &amp; QFCA, Consultation Paper 2023/03: Proposed Digital Assets Regulatory Rules Framework, October 2023.</w:t>
      </w:r>
    </w:p>
    <w:p>
      <w:pPr>
        <w:bidi/>
        <w:spacing w:after="60" w:line="340"/>
        <w:ind w:start="360" w:hanging="360"/>
        <w:jc w:val="both"/>
      </w:pPr>
      <w:r>
        <w:rPr>
          <w:rFonts w:ascii="Simplified Arabic" w:cs="Simplified Arabic" w:hAnsi="Simplified Arabic"/>
          <w:sz w:val="28"/>
          <w:szCs w:val="28"/>
          <w:rtl/>
        </w:rPr>
        <w:t xml:space="preserve">57. QFCA, Token Service Provider Guidelines, Version 1, August 2024؛ وQFC, User Guide: Your Token Service Provider Set-up Journey with the QFC, August 2024.</w:t>
      </w:r>
    </w:p>
    <w:p>
      <w:pPr>
        <w:bidi/>
        <w:spacing w:after="60" w:line="340"/>
        <w:ind w:start="360" w:hanging="360"/>
        <w:jc w:val="both"/>
      </w:pPr>
      <w:r>
        <w:rPr>
          <w:rFonts w:ascii="Simplified Arabic" w:cs="Simplified Arabic" w:hAnsi="Simplified Arabic"/>
          <w:sz w:val="28"/>
          <w:szCs w:val="28"/>
          <w:rtl/>
        </w:rPr>
        <w:t xml:space="preserve">58. QFC Regulatory Authority, «QFC Regulatory Authority clarifies that cryptocurrencies, stablecoins and certain other virtual assets are Excluded Tokens under the new Digital Assets Framework», Doha, 2 September 2024.</w:t>
      </w:r>
    </w:p>
    <w:p>
      <w:pPr>
        <w:bidi/>
        <w:spacing w:after="60" w:line="340"/>
        <w:ind w:start="360" w:hanging="360"/>
        <w:jc w:val="both"/>
      </w:pPr>
      <w:r>
        <w:rPr>
          <w:rFonts w:ascii="Simplified Arabic" w:cs="Simplified Arabic" w:hAnsi="Simplified Arabic"/>
          <w:sz w:val="28"/>
          <w:szCs w:val="28"/>
          <w:rtl/>
        </w:rPr>
        <w:t xml:space="preserve">59. مجلس الوزراء القطري، الموافقة على مشروع قانون بتنظيم ترميز العقارات وتداول الرموز العقارية، 26 أغسطس 2026 (جريدة الشرق، 26 و27 و31 أغسطس 2026).</w:t>
      </w:r>
    </w:p>
    <w:p>
      <w:pPr>
        <w:pStyle w:val="Heading4"/>
        <w:keepNext/>
        <w:bidi/>
        <w:spacing w:after="120" w:before="240"/>
        <w:jc w:val="right"/>
      </w:pPr>
      <w:r>
        <w:rPr>
          <w:rFonts w:ascii="Simplified Arabic" w:cs="Simplified Arabic" w:hAnsi="Simplified Arabic"/>
          <w:b/>
          <w:bCs/>
          <w:color w:val="2E5597"/>
          <w:sz w:val="28"/>
          <w:szCs w:val="28"/>
          <w:rtl/>
        </w:rPr>
        <w:t xml:space="preserve">(ج) الإمارات العربية المتحدة</w:t>
      </w:r>
    </w:p>
    <w:p>
      <w:pPr>
        <w:bidi/>
        <w:spacing w:after="60" w:line="340"/>
        <w:ind w:start="360" w:hanging="360"/>
        <w:jc w:val="both"/>
      </w:pPr>
      <w:r>
        <w:rPr>
          <w:rFonts w:ascii="Simplified Arabic" w:cs="Simplified Arabic" w:hAnsi="Simplified Arabic"/>
          <w:sz w:val="28"/>
          <w:szCs w:val="28"/>
          <w:rtl/>
        </w:rPr>
        <w:t xml:space="preserve">60. قانون إمارة دبي رقم (4) لسنة 2022 بشأن تنظيم الأصول الافتراضية في إمارة دبي، 28 فبراير 2022.</w:t>
      </w:r>
    </w:p>
    <w:p>
      <w:pPr>
        <w:bidi/>
        <w:spacing w:after="60" w:line="340"/>
        <w:ind w:start="360" w:hanging="360"/>
        <w:jc w:val="both"/>
      </w:pPr>
      <w:r>
        <w:rPr>
          <w:rFonts w:ascii="Simplified Arabic" w:cs="Simplified Arabic" w:hAnsi="Simplified Arabic"/>
          <w:sz w:val="28"/>
          <w:szCs w:val="28"/>
          <w:rtl/>
        </w:rPr>
        <w:t xml:space="preserve">61. سلطة دبي لتنظيم الأصول الافتراضية، لائحة الأصول الافتراضية والأنشطة المرتبطة بها لسنة 2023، 7 فبراير 2023.</w:t>
      </w:r>
    </w:p>
    <w:p>
      <w:pPr>
        <w:bidi/>
        <w:spacing w:after="60" w:line="340"/>
        <w:ind w:start="360" w:hanging="360"/>
        <w:jc w:val="both"/>
      </w:pPr>
      <w:r>
        <w:rPr>
          <w:rFonts w:ascii="Simplified Arabic" w:cs="Simplified Arabic" w:hAnsi="Simplified Arabic"/>
          <w:sz w:val="28"/>
          <w:szCs w:val="28"/>
          <w:rtl/>
        </w:rPr>
        <w:t xml:space="preserve">62. قرار مجلس الوزراء رقم (111) لسنة 2022 بشأن تنظيم الأصول الافتراضية ومزودي خدماتها.</w:t>
      </w:r>
    </w:p>
    <w:p>
      <w:pPr>
        <w:bidi/>
        <w:spacing w:after="60" w:line="340"/>
        <w:ind w:start="360" w:hanging="360"/>
        <w:jc w:val="both"/>
      </w:pPr>
      <w:r>
        <w:rPr>
          <w:rFonts w:ascii="Simplified Arabic" w:cs="Simplified Arabic" w:hAnsi="Simplified Arabic"/>
          <w:sz w:val="28"/>
          <w:szCs w:val="28"/>
          <w:rtl/>
        </w:rPr>
        <w:t xml:space="preserve">63. المرسوم بقانون اتحادي رقم (6) لسنة 2025 بشأن المصرف المركزي وتنظيم المنشآت والأنشطة المالية وأعمال التأمين، المادة (62).</w:t>
      </w:r>
    </w:p>
    <w:p>
      <w:pPr>
        <w:bidi/>
        <w:spacing w:after="60" w:line="340"/>
        <w:ind w:start="360" w:hanging="360"/>
        <w:jc w:val="both"/>
      </w:pPr>
      <w:r>
        <w:rPr>
          <w:rFonts w:ascii="Simplified Arabic" w:cs="Simplified Arabic" w:hAnsi="Simplified Arabic"/>
          <w:sz w:val="28"/>
          <w:szCs w:val="28"/>
          <w:rtl/>
        </w:rPr>
        <w:t xml:space="preserve">64. مصرف الإمارات العربية المتحدة المركزي، لائحة خدمات رموز الدفع، التعميم رقم 2/2024، يونيو 2024.</w:t>
      </w:r>
    </w:p>
    <w:p>
      <w:pPr>
        <w:bidi/>
        <w:spacing w:after="60" w:line="340"/>
        <w:ind w:start="360" w:hanging="360"/>
        <w:jc w:val="both"/>
      </w:pPr>
      <w:r>
        <w:rPr>
          <w:rFonts w:ascii="Simplified Arabic" w:cs="Simplified Arabic" w:hAnsi="Simplified Arabic"/>
          <w:sz w:val="28"/>
          <w:szCs w:val="28"/>
          <w:rtl/>
        </w:rPr>
        <w:t xml:space="preserve">65. مركز دبي المالي العالمي، قانون الأصول الرقمية رقم (2) لسنة 2024، 8 مارس 2024.</w:t>
      </w:r>
    </w:p>
    <w:p>
      <w:pPr>
        <w:pStyle w:val="Heading4"/>
        <w:keepNext/>
        <w:bidi/>
        <w:spacing w:after="120" w:before="240"/>
        <w:jc w:val="right"/>
      </w:pPr>
      <w:r>
        <w:rPr>
          <w:rFonts w:ascii="Simplified Arabic" w:cs="Simplified Arabic" w:hAnsi="Simplified Arabic"/>
          <w:b/>
          <w:bCs/>
          <w:color w:val="2E5597"/>
          <w:sz w:val="28"/>
          <w:szCs w:val="28"/>
          <w:rtl/>
        </w:rPr>
        <w:t xml:space="preserve">(د) الاتحاد الأوروبي</w:t>
      </w:r>
    </w:p>
    <w:p>
      <w:pPr>
        <w:bidi/>
        <w:spacing w:after="60" w:line="340"/>
        <w:ind w:start="360" w:hanging="360"/>
        <w:jc w:val="both"/>
      </w:pPr>
      <w:r>
        <w:rPr>
          <w:rFonts w:ascii="Simplified Arabic" w:cs="Simplified Arabic" w:hAnsi="Simplified Arabic"/>
          <w:sz w:val="28"/>
          <w:szCs w:val="28"/>
          <w:rtl/>
        </w:rPr>
        <w:t xml:space="preserve">66. Regulation (EU) 2023/1114 of 31 May 2023 on markets in crypto-assets (MiCA), OJ L 150, 9.6.2023, pp. 40–205.</w:t>
      </w:r>
    </w:p>
    <w:p>
      <w:pPr>
        <w:bidi/>
        <w:spacing w:after="60" w:line="340"/>
        <w:ind w:start="360" w:hanging="360"/>
        <w:jc w:val="both"/>
      </w:pPr>
      <w:r>
        <w:rPr>
          <w:rFonts w:ascii="Simplified Arabic" w:cs="Simplified Arabic" w:hAnsi="Simplified Arabic"/>
          <w:sz w:val="28"/>
          <w:szCs w:val="28"/>
          <w:rtl/>
        </w:rPr>
        <w:t xml:space="preserve">67. Regulation (EU) 2023/1113 of 31 May 2023 on information accompanying transfers of funds and certain crypto-assets, OJ L 150, 9.6.2023, pp. 1–39.</w:t>
      </w:r>
    </w:p>
    <w:p>
      <w:pPr>
        <w:bidi/>
        <w:spacing w:after="60" w:line="340"/>
        <w:ind w:start="360" w:hanging="360"/>
        <w:jc w:val="both"/>
      </w:pPr>
      <w:r>
        <w:rPr>
          <w:rFonts w:ascii="Simplified Arabic" w:cs="Simplified Arabic" w:hAnsi="Simplified Arabic"/>
          <w:sz w:val="28"/>
          <w:szCs w:val="28"/>
          <w:rtl/>
        </w:rPr>
        <w:t xml:space="preserve">68. Council Directive (EU) 2023/2226 of 17 October 2023 (DAC8).</w:t>
      </w:r>
    </w:p>
    <w:p>
      <w:pPr>
        <w:bidi/>
        <w:spacing w:after="60" w:line="340"/>
        <w:ind w:start="360" w:hanging="360"/>
        <w:jc w:val="both"/>
      </w:pPr>
      <w:r>
        <w:rPr>
          <w:rFonts w:ascii="Simplified Arabic" w:cs="Simplified Arabic" w:hAnsi="Simplified Arabic"/>
          <w:sz w:val="28"/>
          <w:szCs w:val="28"/>
          <w:rtl/>
        </w:rPr>
        <w:t xml:space="preserve">69. Proposal for a Regulation on the establishment of the digital euro, procedure 2023/0212(COD).</w:t>
      </w:r>
    </w:p>
    <w:p>
      <w:pPr>
        <w:pStyle w:val="Heading4"/>
        <w:keepNext/>
        <w:bidi/>
        <w:spacing w:after="120" w:before="240"/>
        <w:jc w:val="right"/>
      </w:pPr>
      <w:r>
        <w:rPr>
          <w:rFonts w:ascii="Simplified Arabic" w:cs="Simplified Arabic" w:hAnsi="Simplified Arabic"/>
          <w:b/>
          <w:bCs/>
          <w:color w:val="2E5597"/>
          <w:sz w:val="28"/>
          <w:szCs w:val="28"/>
          <w:rtl/>
        </w:rPr>
        <w:t xml:space="preserve">(هـ) الولايات المتحدة الأمريكية والمملكة المتحدة وغيرهما</w:t>
      </w:r>
    </w:p>
    <w:p>
      <w:pPr>
        <w:bidi/>
        <w:spacing w:after="60" w:line="340"/>
        <w:ind w:start="360" w:hanging="360"/>
        <w:jc w:val="both"/>
      </w:pPr>
      <w:r>
        <w:rPr>
          <w:rFonts w:ascii="Simplified Arabic" w:cs="Simplified Arabic" w:hAnsi="Simplified Arabic"/>
          <w:sz w:val="28"/>
          <w:szCs w:val="28"/>
          <w:rtl/>
        </w:rPr>
        <w:t xml:space="preserve">70. Public Law 119-27, Guiding and Establishing National Innovation for U.S. Stablecoins Act (GENIUS Act), July 18, 2025.</w:t>
      </w:r>
    </w:p>
    <w:p>
      <w:pPr>
        <w:bidi/>
        <w:spacing w:after="60" w:line="340"/>
        <w:ind w:start="360" w:hanging="360"/>
        <w:jc w:val="both"/>
      </w:pPr>
      <w:r>
        <w:rPr>
          <w:rFonts w:ascii="Simplified Arabic" w:cs="Simplified Arabic" w:hAnsi="Simplified Arabic"/>
          <w:sz w:val="28"/>
          <w:szCs w:val="28"/>
          <w:rtl/>
        </w:rPr>
        <w:t xml:space="preserve">71. Executive Order 14178, 23 January 2025, 90 FR 8647؛ وExecutive Order 14233, 6 March 2025, 90 FR 11789.</w:t>
      </w:r>
    </w:p>
    <w:p>
      <w:pPr>
        <w:bidi/>
        <w:spacing w:after="60" w:line="340"/>
        <w:ind w:start="360" w:hanging="360"/>
        <w:jc w:val="both"/>
      </w:pPr>
      <w:r>
        <w:rPr>
          <w:rFonts w:ascii="Simplified Arabic" w:cs="Simplified Arabic" w:hAnsi="Simplified Arabic"/>
          <w:sz w:val="28"/>
          <w:szCs w:val="28"/>
          <w:rtl/>
        </w:rPr>
        <w:t xml:space="preserve">72. IRS, Notice 2014-21؛ وNotice 2023-34.</w:t>
      </w:r>
    </w:p>
    <w:p>
      <w:pPr>
        <w:bidi/>
        <w:spacing w:after="60" w:line="340"/>
        <w:ind w:start="360" w:hanging="360"/>
        <w:jc w:val="both"/>
      </w:pPr>
      <w:r>
        <w:rPr>
          <w:rFonts w:ascii="Simplified Arabic" w:cs="Simplified Arabic" w:hAnsi="Simplified Arabic"/>
          <w:sz w:val="28"/>
          <w:szCs w:val="28"/>
          <w:rtl/>
        </w:rPr>
        <w:t xml:space="preserve">73. Property (Digital Assets etc) Act 2025 (c. 29).</w:t>
      </w:r>
    </w:p>
    <w:p>
      <w:pPr>
        <w:bidi/>
        <w:spacing w:after="60" w:line="340"/>
        <w:ind w:start="360" w:hanging="360"/>
        <w:jc w:val="both"/>
      </w:pPr>
      <w:r>
        <w:rPr>
          <w:rFonts w:ascii="Simplified Arabic" w:cs="Simplified Arabic" w:hAnsi="Simplified Arabic"/>
          <w:sz w:val="28"/>
          <w:szCs w:val="28"/>
          <w:rtl/>
        </w:rPr>
        <w:t xml:space="preserve">74. Law Commission of England and Wales, Digital Assets: Final Report, Law Com No 412, June 2023.</w:t>
      </w:r>
    </w:p>
    <w:p>
      <w:pPr>
        <w:bidi/>
        <w:spacing w:after="60" w:line="340"/>
        <w:ind w:start="360" w:hanging="360"/>
        <w:jc w:val="both"/>
      </w:pPr>
      <w:r>
        <w:rPr>
          <w:rFonts w:ascii="Simplified Arabic" w:cs="Simplified Arabic" w:hAnsi="Simplified Arabic"/>
          <w:sz w:val="28"/>
          <w:szCs w:val="28"/>
          <w:rtl/>
        </w:rPr>
        <w:t xml:space="preserve">75. People's Bank of China et al., Notice Yinfa [2021] No. 237 (15 September 2021)؛ وNotice Yinfa [2026] No. 42 (6 February 2026).</w:t>
      </w:r>
    </w:p>
    <w:p>
      <w:pPr>
        <w:bidi/>
        <w:spacing w:after="60" w:line="340"/>
        <w:ind w:start="360" w:hanging="360"/>
        <w:jc w:val="both"/>
      </w:pPr>
      <w:r>
        <w:rPr>
          <w:rFonts w:ascii="Simplified Arabic" w:cs="Simplified Arabic" w:hAnsi="Simplified Arabic"/>
          <w:sz w:val="28"/>
          <w:szCs w:val="28"/>
          <w:rtl/>
        </w:rPr>
        <w:t xml:space="preserve">76. El Salvador, Decreto Legislativo No. 57 (Ley Bitcoin), 8 June 2021؛ وDecreto Legislativo No. 199, 29 January 2025.</w:t>
      </w:r>
    </w:p>
    <w:p>
      <w:pPr>
        <w:pStyle w:val="Heading3"/>
        <w:keepNext/>
        <w:bidi/>
        <w:spacing w:after="120" w:before="240"/>
        <w:jc w:val="right"/>
      </w:pPr>
      <w:r>
        <w:rPr>
          <w:rFonts w:ascii="Simplified Arabic" w:cs="Simplified Arabic" w:hAnsi="Simplified Arabic"/>
          <w:b/>
          <w:bCs/>
          <w:color w:val="2E5597"/>
          <w:sz w:val="30"/>
          <w:szCs w:val="30"/>
          <w:rtl/>
        </w:rPr>
        <w:t xml:space="preserve">ثالثًا: الأحكام القضائية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المحكمة</w:t>
            </w:r>
          </w:p>
        </w:tc>
        <w:tc>
          <w:tcPr>
            <w:tcW w:type="dxa" w:w="18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القضية والمرجع</w:t>
            </w:r>
          </w:p>
        </w:tc>
        <w:tc>
          <w:tcPr>
            <w:tcW w:type="dxa" w:w="18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التاريخ</w:t>
            </w:r>
          </w:p>
        </w:tc>
        <w:tc>
          <w:tcPr>
            <w:tcW w:type="dxa" w:w="18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المبدأ</w:t>
            </w:r>
          </w:p>
        </w:tc>
        <w:tc>
          <w:tcPr>
            <w:tcW w:type="dxa" w:w="180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موضعه في الرسالة</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الدستورية العليا (مصر)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القضية 25 لسنة 8 ق. دستورية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16/5/1992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ضوابط التفويض التشريعي. يُستعمل على سبيل القياس مع بيان الفارق، لأنه صدر في قرار بقانون في ظل المادة 108 من دستور 1971</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الدستورية العليا (مصر)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القضية 15 لسنة 18 ق. دستورية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2/1/1999</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تحديد الجهات القضائية واختصاصاتها يكون بقانون</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م1 وم2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الدستورية العليا (مصر)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القضية 2 لسنة 16 ق. دستورية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نُشر في 16/2/1996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حدود السلطة التقديرية في تنظيم الحقوق</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الدستورية العليا (مصر)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القضية 3 لسنة 18 ق. دستورية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نُشر في 16/1/1997</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حق الملكية ينصرف إلى الحقوق العينية والشخصية جميعها</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الاقتصادية بالقاهرة (المصدر: تغطية صحفية، وتُطلب الصورة الرسمية)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قضية «مستريح البيتكوين» الأولى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20/3/2023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السجن 10 سنوات ورد المبالغ وغرامة. والعقوبة تجاوز نطاق المادة (225)، فالإدانة قامت كليًا أو جزئيًا على نصوص أخرى تُحدَّد من الأسباب</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ف3،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الدائرة الخامسة جنايات، محكمة القاهرة الاقتصادية (المصدر: تغطية صحفية)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القضية 38 لسنة 2023 جنايات اقتصادي قسم منشأة ناصر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30/4/2025</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الحبس سنة وغرامة 100 ألف جنيه مع إيقاف التنفيذ لأربعة متهمين، وتغريم متهمين مليون جنيه، وبراءة اثنين. وقد أُثير أمامها الدفع بعدم رجعية القانون رقم 194 لسنة 2020</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ف3،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الاقتصادية بالقاهرة (المصدر: تغطية صحفية)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قضية منصة «هوج بول»</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5/4/2023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تأييد التحفظ على أموال المتهمين</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ف3،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الاستئناف، مركز دبي المالي العالمي (القاضي Michael Black منفردًا)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Gate Mena DMCC &amp; Huobi Mena FZE v Tabarak Investment Capital (رقم الإسناد يُطابق على موقع المحاكم)</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13/6/2024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البتكوين فئة ثالثة من الأموال، والسيطرة الحصرية معيار الملكية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الاقتصاد الرقمي، مركز دبي المالي العالمي</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Gate Mena v Tabarak, DEC 002/2024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يونيو 2026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التزام الوسيط الحائز للأصول المشفرة التزام ببذل عناية معقولة، لا التزام مطلق بالرد</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ف3،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الاقتصاد الرقمي، مركز دبي المالي العالمي</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Techteryx Ltd v Aria Commodities DMCC &amp; Ors, [2025] DIFC DEC 001</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16/9/2025 (عُدّل في 17/10/2025)</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أمر عيني وأمر تجميد عالمي بشأن احتياطيات عملة مستقرة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(Commercial Court)، إنجلترا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AA v Persons Unknown, [2019] EWHC 3556 (Comm)</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جلسة 13/12/2019</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البتكوين مال يصلح محلًا لأمر قضائي عيني</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 ب2، ف2،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(Commercial Court)، إنجلترا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Ion Science Ltd v Persons Unknown (غير منشور)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21/12/2020</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مكان الأصل المشفر موطن مالكه، وذلك على مستوى «المسألة الجدية» وفي جلسة ترافع فيها طرف واحد</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م3</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(Commercial Court)، إنجلترا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LMN v Bitflyer Holdings Inc, [2022] EWHC 2954 (Comm)</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29/11/2022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أوامر الإفصاح ضد المنصات الأجنبية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(Chancery)، إنجلترا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D'Aloia v Persons Unknown, [2024] EWHC 2342 (Ch)</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12/9/2024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عملة USDT مال قابل للتتبع، ورُفضت الدعوى ضد إحدى المنصات لقصور خبرة التتبع</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(Commercial Court)، إنجلترا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Payward, Inc v Chechetkin, [2023] EWHC 1780 (Comm)</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14/7/2023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رفض تنفيذ حكم تحكيم أجنبي ضد مستهلك لمخالفته النظام العام</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ف1، م3</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سنغافورة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ByBit Fintech Ltd v Ho Kai Xin, [2023] SGHC 199</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25/7/2023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العملة المستقرة حق شخصي قابل للمطالبة يصلح محلًا لأمانة بنّاءة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سنغافورة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CLM v CLN, [2022] SGHC 46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4/3/2022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أمر تجميد عالمي وأمر عيني ضد مجهولين</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High Court، نيوزيلندا (كرايستشيرش)</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Ruscoe v Cryptopia Ltd, [2020] NZHC 728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8/4/2020</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أصول العملاء محفوظة لهم في أمانات عند التصفية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م3</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العدل للاتحاد الأوروبي</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C-264/14, Skatteverket v David Hedqvist, ECLI:EU:C:2015:718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22/10/2015</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مبادلة البتكوين معفاة من الضريبة على القيمة المضافة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ف3،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مجلس الدولة الفرنسي</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الطعن رقم 417809</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26/4/2018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البتكوين مال منقول معنوي لأغراض الضريبة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 ب1، ف3، م1</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التجارية بنانتير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Bitspread Ltd c/ Paymium, n° 2018F00466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26/2/2020</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البتكوين مال معنوي مثلي قابل للاستهلاك، وإقراضه قرض استهلاك</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العليا الأمريكية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SEC v. W.J. Howey Co., 328 U.S. 293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1946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معيار عقد الاستثمار</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الجزئية للمنطقة الجنوبية من نيويورك</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SEC v. Ripple Labs, 682 F. Supp. 3d 308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13/7/2023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التكييف بحسب طريقة البيع</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ب1، ف1،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المحكمة الجزئية للمنطقة الجنوبية من نيويورك</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SEC v. Terraform Labs, No. 23-cv-1346؛ وUnited States v. Do Kwon</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2024؛ 11/12/2025</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المسؤولية المدنية والجنائية عن انهيار عملة مستقرة خوارزمية</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ف3، م2</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الإفلاس للمنطقة الجنوبية من نيويورك</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In re Celsius Network LLC, 647 B.R. 631</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4/1/2023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أصول حسابات «Earn» من أموال التفليسة بحسب شروط التعامل</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م3</w:t>
            </w:r>
          </w:p>
        </w:tc>
      </w:tr>
      <w:tr>
        <w:trPr>
          <w:tblHeader w:val="false"/>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محكمة الإفلاس لمقاطعة ديلاوير</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In re FTX Trading Ltd., No. 22-11068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7/10/2024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تقويم مطالبات العملاء بتاريخ طلب الإفلاس</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ب2، ف2، م3</w:t>
            </w:r>
          </w:p>
        </w:tc>
      </w:tr>
    </w:tbl>
    <w:p>
      <w:pPr>
        <w:bidi/>
      </w:pPr>
    </w:p>
    <w:p>
      <w:pPr>
        <w:pStyle w:val="Heading3"/>
        <w:keepNext/>
        <w:bidi/>
        <w:spacing w:after="120" w:before="240"/>
        <w:jc w:val="right"/>
      </w:pPr>
      <w:r>
        <w:rPr>
          <w:rFonts w:ascii="Simplified Arabic" w:cs="Simplified Arabic" w:hAnsi="Simplified Arabic"/>
          <w:b/>
          <w:bCs/>
          <w:color w:val="2E5597"/>
          <w:sz w:val="30"/>
          <w:szCs w:val="30"/>
          <w:rtl/>
        </w:rPr>
        <w:t xml:space="preserve">رابعًا: التقارير والوثائق الدولية</w:t>
      </w:r>
    </w:p>
    <w:p>
      <w:pPr>
        <w:bidi/>
        <w:spacing w:after="60" w:line="340"/>
        <w:ind w:start="360" w:hanging="360"/>
        <w:jc w:val="both"/>
      </w:pPr>
      <w:r>
        <w:rPr>
          <w:rFonts w:ascii="Simplified Arabic" w:cs="Simplified Arabic" w:hAnsi="Simplified Arabic"/>
          <w:sz w:val="28"/>
          <w:szCs w:val="28"/>
          <w:rtl/>
        </w:rPr>
        <w:t xml:space="preserve">77. International Monetary Fund, Elements of Effective Policies for Crypto Assets, Policy Paper No. 2023/004, February 2023.</w:t>
      </w:r>
    </w:p>
    <w:p>
      <w:pPr>
        <w:bidi/>
        <w:spacing w:after="60" w:line="340"/>
        <w:ind w:start="360" w:hanging="360"/>
        <w:jc w:val="both"/>
      </w:pPr>
      <w:r>
        <w:rPr>
          <w:rFonts w:ascii="Simplified Arabic" w:cs="Simplified Arabic" w:hAnsi="Simplified Arabic"/>
          <w:sz w:val="28"/>
          <w:szCs w:val="28"/>
          <w:rtl/>
        </w:rPr>
        <w:t xml:space="preserve">78. International Monetary Fund, Qatar: 2024 Article IV Consultation – Staff Report, IMF Country Report No. 25/47, February 2025.</w:t>
      </w:r>
    </w:p>
    <w:p>
      <w:pPr>
        <w:bidi/>
        <w:spacing w:after="60" w:line="340"/>
        <w:ind w:start="360" w:hanging="360"/>
        <w:jc w:val="both"/>
      </w:pPr>
      <w:r>
        <w:rPr>
          <w:rFonts w:ascii="Simplified Arabic" w:cs="Simplified Arabic" w:hAnsi="Simplified Arabic"/>
          <w:sz w:val="28"/>
          <w:szCs w:val="28"/>
          <w:rtl/>
        </w:rPr>
        <w:t xml:space="preserve">79. IMF–FSB, Synthesis Paper: Policies for Crypto-assets, 7 September 2023.</w:t>
      </w:r>
    </w:p>
    <w:p>
      <w:pPr>
        <w:bidi/>
        <w:spacing w:after="60" w:line="340"/>
        <w:ind w:start="360" w:hanging="360"/>
        <w:jc w:val="both"/>
      </w:pPr>
      <w:r>
        <w:rPr>
          <w:rFonts w:ascii="Simplified Arabic" w:cs="Simplified Arabic" w:hAnsi="Simplified Arabic"/>
          <w:sz w:val="28"/>
          <w:szCs w:val="28"/>
          <w:rtl/>
        </w:rPr>
        <w:t xml:space="preserve">80. Financial Stability Board, FSB Global Regulatory Framework for Crypto-asset Activities, 17 July 2023.</w:t>
      </w:r>
    </w:p>
    <w:p>
      <w:pPr>
        <w:bidi/>
        <w:spacing w:after="60" w:line="340"/>
        <w:ind w:start="360" w:hanging="360"/>
        <w:jc w:val="both"/>
      </w:pPr>
      <w:r>
        <w:rPr>
          <w:rFonts w:ascii="Simplified Arabic" w:cs="Simplified Arabic" w:hAnsi="Simplified Arabic"/>
          <w:sz w:val="28"/>
          <w:szCs w:val="28"/>
          <w:rtl/>
        </w:rPr>
        <w:t xml:space="preserve">81. Bank for International Settlements, Annual Economic Report 2025, Chapter III: «The next-generation monetary and financial system», 29 June 2025.</w:t>
      </w:r>
    </w:p>
    <w:p>
      <w:pPr>
        <w:bidi/>
        <w:spacing w:after="60" w:line="340"/>
        <w:ind w:start="360" w:hanging="360"/>
        <w:jc w:val="both"/>
      </w:pPr>
      <w:r>
        <w:rPr>
          <w:rFonts w:ascii="Simplified Arabic" w:cs="Simplified Arabic" w:hAnsi="Simplified Arabic"/>
          <w:sz w:val="28"/>
          <w:szCs w:val="28"/>
          <w:rtl/>
        </w:rPr>
        <w:t xml:space="preserve">82. Basel Committee on Banking Supervision, Prudential treatment of cryptoasset exposures, December 2022 (SCO60)، بتعديلاته الصادرة في يوليو 2024.</w:t>
      </w:r>
    </w:p>
    <w:p>
      <w:pPr>
        <w:bidi/>
        <w:spacing w:after="60" w:line="340"/>
        <w:ind w:start="360" w:hanging="360"/>
        <w:jc w:val="both"/>
      </w:pPr>
      <w:r>
        <w:rPr>
          <w:rFonts w:ascii="Simplified Arabic" w:cs="Simplified Arabic" w:hAnsi="Simplified Arabic"/>
          <w:sz w:val="28"/>
          <w:szCs w:val="28"/>
          <w:rtl/>
        </w:rPr>
        <w:t xml:space="preserve">83. FATF, Recommendation 15 and its Interpretive Note؛ وTargeted Update on Implementation of the FATF Standards on Virtual Assets and VASPs, July 2026.</w:t>
      </w:r>
    </w:p>
    <w:p>
      <w:pPr>
        <w:bidi/>
        <w:spacing w:after="60" w:line="340"/>
        <w:ind w:start="360" w:hanging="360"/>
        <w:jc w:val="both"/>
      </w:pPr>
      <w:r>
        <w:rPr>
          <w:rFonts w:ascii="Simplified Arabic" w:cs="Simplified Arabic" w:hAnsi="Simplified Arabic"/>
          <w:sz w:val="28"/>
          <w:szCs w:val="28"/>
          <w:rtl/>
        </w:rPr>
        <w:t xml:space="preserve">84. MENAFATF, Egypt: 3rd Enhanced Follow-up Report and Technical Compliance Re-Rating, May 2024.</w:t>
      </w:r>
    </w:p>
    <w:p>
      <w:pPr>
        <w:bidi/>
        <w:spacing w:after="60" w:line="340"/>
        <w:ind w:start="360" w:hanging="360"/>
        <w:jc w:val="both"/>
      </w:pPr>
      <w:r>
        <w:rPr>
          <w:rFonts w:ascii="Simplified Arabic" w:cs="Simplified Arabic" w:hAnsi="Simplified Arabic"/>
          <w:sz w:val="28"/>
          <w:szCs w:val="28"/>
          <w:rtl/>
        </w:rPr>
        <w:t xml:space="preserve">85. OECD, Crypto-Asset Reporting Framework and Amendments to the Common Reporting Standard, 2022–2023.</w:t>
      </w:r>
    </w:p>
    <w:p>
      <w:pPr>
        <w:bidi/>
        <w:spacing w:after="60" w:line="340"/>
        <w:ind w:start="360" w:hanging="360"/>
        <w:jc w:val="both"/>
      </w:pPr>
      <w:r>
        <w:rPr>
          <w:rFonts w:ascii="Simplified Arabic" w:cs="Simplified Arabic" w:hAnsi="Simplified Arabic"/>
          <w:sz w:val="28"/>
          <w:szCs w:val="28"/>
          <w:rtl/>
        </w:rPr>
        <w:t xml:space="preserve">86. UNIDROIT, Principles on Digital Assets and Private Law, 2023.</w:t>
      </w:r>
    </w:p>
    <w:p>
      <w:pPr>
        <w:bidi/>
        <w:spacing w:after="60" w:line="340"/>
        <w:ind w:start="360" w:hanging="360"/>
        <w:jc w:val="both"/>
      </w:pPr>
      <w:r>
        <w:rPr>
          <w:rFonts w:ascii="Simplified Arabic" w:cs="Simplified Arabic" w:hAnsi="Simplified Arabic"/>
          <w:sz w:val="28"/>
          <w:szCs w:val="28"/>
          <w:rtl/>
        </w:rPr>
        <w:t xml:space="preserve">87. Bank for International Settlements, «Project mBridge reaches minimum viable product stage», Press release, 5 June 2024.</w:t>
      </w:r>
    </w:p>
    <w:p>
      <w:pPr>
        <w:bidi/>
        <w:spacing w:after="60" w:line="340"/>
        <w:ind w:start="360" w:hanging="360"/>
        <w:jc w:val="both"/>
      </w:pPr>
      <w:r>
        <w:rPr>
          <w:rFonts w:ascii="Simplified Arabic" w:cs="Simplified Arabic" w:hAnsi="Simplified Arabic"/>
          <w:sz w:val="28"/>
          <w:szCs w:val="28"/>
          <w:rtl/>
        </w:rPr>
        <w:t xml:space="preserve">88. European Central Bank, Digital euro – Progress (الصفحة الرسمية).</w:t>
      </w:r>
    </w:p>
    <w:p>
      <w:pPr>
        <w:bidi/>
        <w:spacing w:after="60" w:line="340"/>
        <w:ind w:start="360" w:hanging="360"/>
        <w:jc w:val="both"/>
      </w:pPr>
      <w:r>
        <w:rPr>
          <w:rFonts w:ascii="Simplified Arabic" w:cs="Simplified Arabic" w:hAnsi="Simplified Arabic"/>
          <w:sz w:val="28"/>
          <w:szCs w:val="28"/>
          <w:rtl/>
        </w:rPr>
        <w:t xml:space="preserve">89. International Monetary Fund, Press Releases No. 25/043 (26 February 2025) and No. 26/316 (1 October 2026) on El Salvador.</w:t>
      </w:r>
    </w:p>
    <w:p>
      <w:pPr>
        <w:pStyle w:val="Heading3"/>
        <w:keepNext/>
        <w:bidi/>
        <w:spacing w:after="120" w:before="240"/>
        <w:jc w:val="right"/>
      </w:pPr>
      <w:r>
        <w:rPr>
          <w:rFonts w:ascii="Simplified Arabic" w:cs="Simplified Arabic" w:hAnsi="Simplified Arabic"/>
          <w:b/>
          <w:bCs/>
          <w:color w:val="2E5597"/>
          <w:sz w:val="30"/>
          <w:szCs w:val="30"/>
          <w:rtl/>
        </w:rPr>
        <w:t xml:space="preserve">خامسًا: مراجع أجنبية</w:t>
      </w:r>
    </w:p>
    <w:p>
      <w:pPr>
        <w:bidi/>
        <w:spacing w:after="60" w:line="340"/>
        <w:ind w:start="360" w:hanging="360"/>
        <w:jc w:val="both"/>
      </w:pPr>
      <w:r>
        <w:rPr>
          <w:rFonts w:ascii="Simplified Arabic" w:cs="Simplified Arabic" w:hAnsi="Simplified Arabic"/>
          <w:sz w:val="28"/>
          <w:szCs w:val="28"/>
          <w:rtl/>
        </w:rPr>
        <w:t xml:space="preserve">90. UK Jurisdiction Taskforce, Legal Statement on Cryptoassets and Smart Contracts, 2019؛ وDigital Dispute Resolution Rules, 2021.</w:t>
      </w:r>
    </w:p>
    <w:p>
      <w:pPr>
        <w:bidi/>
        <w:spacing w:after="60" w:line="340"/>
        <w:ind w:start="360" w:hanging="360"/>
        <w:jc w:val="both"/>
      </w:pPr>
      <w:r>
        <w:rPr>
          <w:rFonts w:ascii="Simplified Arabic" w:cs="Simplified Arabic" w:hAnsi="Simplified Arabic"/>
          <w:sz w:val="28"/>
          <w:szCs w:val="28"/>
          <w:rtl/>
        </w:rPr>
        <w:t xml:space="preserve">91. Truby, J., «Decarbonizing Bitcoin: Law and policy choices for reducing the energy consumption of Blockchain technologies and digital currencies», Energy Research &amp; Social Science, vol. 44, 2018, pp. 399–410.</w:t>
      </w:r>
    </w:p>
    <w:p>
      <w:pPr>
        <w:pStyle w:val="Heading3"/>
        <w:keepNext/>
        <w:bidi/>
        <w:spacing w:after="120" w:before="240"/>
        <w:jc w:val="right"/>
      </w:pPr>
      <w:r>
        <w:rPr>
          <w:rFonts w:ascii="Simplified Arabic" w:cs="Simplified Arabic" w:hAnsi="Simplified Arabic"/>
          <w:b/>
          <w:bCs/>
          <w:color w:val="2E5597"/>
          <w:sz w:val="30"/>
          <w:szCs w:val="30"/>
          <w:rtl/>
        </w:rPr>
        <w:t xml:space="preserve">سادسًا: مواقع إلكترونية</w:t>
      </w:r>
    </w:p>
    <w:p>
      <w:pPr>
        <w:pStyle w:val="ListParagraph"/>
        <w:numPr>
          <w:ilvl w:val="0"/>
          <w:numId w:val="2"/>
        </w:numPr>
        <w:bidi/>
        <w:spacing w:after="60" w:line="340"/>
        <w:jc w:val="both"/>
      </w:pPr>
      <w:r>
        <w:rPr>
          <w:rFonts w:ascii="Simplified Arabic" w:cs="Simplified Arabic" w:hAnsi="Simplified Arabic"/>
          <w:sz w:val="28"/>
          <w:szCs w:val="28"/>
          <w:rtl/>
        </w:rPr>
        <w:t xml:space="preserve">فهرس مكتبة كلية الحقوق، جامعة القاهرة: fll.law.cu.edu.eg</w:t>
      </w:r>
    </w:p>
    <w:p>
      <w:pPr>
        <w:pStyle w:val="ListParagraph"/>
        <w:numPr>
          <w:ilvl w:val="0"/>
          <w:numId w:val="2"/>
        </w:numPr>
        <w:bidi/>
        <w:spacing w:after="60" w:line="340"/>
        <w:jc w:val="both"/>
      </w:pPr>
      <w:r>
        <w:rPr>
          <w:rFonts w:ascii="Simplified Arabic" w:cs="Simplified Arabic" w:hAnsi="Simplified Arabic"/>
          <w:sz w:val="28"/>
          <w:szCs w:val="28"/>
          <w:rtl/>
        </w:rPr>
        <w:t xml:space="preserve">موسوعة التشريعات، المجلس الأعلى للقضاء (قطر): encyclop.sjc.gov.qa</w:t>
      </w:r>
    </w:p>
    <w:p>
      <w:pPr>
        <w:pStyle w:val="ListParagraph"/>
        <w:numPr>
          <w:ilvl w:val="0"/>
          <w:numId w:val="2"/>
        </w:numPr>
        <w:bidi/>
        <w:spacing w:after="60" w:line="340"/>
        <w:jc w:val="both"/>
      </w:pPr>
      <w:r>
        <w:rPr>
          <w:rFonts w:ascii="Simplified Arabic" w:cs="Simplified Arabic" w:hAnsi="Simplified Arabic"/>
          <w:sz w:val="28"/>
          <w:szCs w:val="28"/>
          <w:rtl/>
        </w:rPr>
        <w:t xml:space="preserve">كتاب قواعد هيئة تنظيم مركز قطر للمال: qfcra-en.thomsonreuters.com</w:t>
      </w:r>
    </w:p>
    <w:p>
      <w:pPr>
        <w:pStyle w:val="ListParagraph"/>
        <w:numPr>
          <w:ilvl w:val="0"/>
          <w:numId w:val="2"/>
        </w:numPr>
        <w:bidi/>
        <w:spacing w:after="60" w:line="340"/>
        <w:jc w:val="both"/>
      </w:pPr>
      <w:r>
        <w:rPr>
          <w:rFonts w:ascii="Simplified Arabic" w:cs="Simplified Arabic" w:hAnsi="Simplified Arabic"/>
          <w:sz w:val="28"/>
          <w:szCs w:val="28"/>
          <w:rtl/>
        </w:rPr>
        <w:t xml:space="preserve">بوابة تشريعات دبي: dlp.dubai.gov.ae</w:t>
      </w:r>
    </w:p>
    <w:p>
      <w:pPr>
        <w:pStyle w:val="ListParagraph"/>
        <w:numPr>
          <w:ilvl w:val="0"/>
          <w:numId w:val="2"/>
        </w:numPr>
        <w:bidi/>
        <w:spacing w:after="60" w:line="340"/>
        <w:jc w:val="both"/>
      </w:pPr>
      <w:r>
        <w:rPr>
          <w:rFonts w:ascii="Simplified Arabic" w:cs="Simplified Arabic" w:hAnsi="Simplified Arabic"/>
          <w:sz w:val="28"/>
          <w:szCs w:val="28"/>
          <w:rtl/>
        </w:rPr>
        <w:t xml:space="preserve">كتاب قواعد مصرف الإمارات المركزي: rulebook.centralbank.ae</w:t>
      </w:r>
    </w:p>
    <w:p>
      <w:pPr>
        <w:pStyle w:val="ListParagraph"/>
        <w:numPr>
          <w:ilvl w:val="0"/>
          <w:numId w:val="2"/>
        </w:numPr>
        <w:bidi/>
        <w:spacing w:after="60" w:line="340"/>
        <w:jc w:val="both"/>
      </w:pPr>
      <w:r>
        <w:rPr>
          <w:rFonts w:ascii="Simplified Arabic" w:cs="Simplified Arabic" w:hAnsi="Simplified Arabic"/>
          <w:sz w:val="28"/>
          <w:szCs w:val="28"/>
          <w:rtl/>
        </w:rPr>
        <w:t xml:space="preserve">قاعدة تشريعات الاتحاد الأوروبي: eur-lex.europa.eu</w:t>
      </w:r>
    </w:p>
    <w:p>
      <w:pPr>
        <w:pStyle w:val="ListParagraph"/>
        <w:numPr>
          <w:ilvl w:val="0"/>
          <w:numId w:val="2"/>
        </w:numPr>
        <w:bidi/>
        <w:spacing w:after="60" w:line="340"/>
        <w:jc w:val="both"/>
      </w:pPr>
      <w:r>
        <w:rPr>
          <w:rFonts w:ascii="Simplified Arabic" w:cs="Simplified Arabic" w:hAnsi="Simplified Arabic"/>
          <w:sz w:val="28"/>
          <w:szCs w:val="28"/>
          <w:rtl/>
        </w:rPr>
        <w:t xml:space="preserve">التشريعات والأحكام البريطانية: legislation.gov.uk وcaselaw.nationalarchives.gov.uk</w:t>
      </w:r>
    </w:p>
    <w:p>
      <w:pPr>
        <w:pStyle w:val="ListParagraph"/>
        <w:numPr>
          <w:ilvl w:val="0"/>
          <w:numId w:val="2"/>
        </w:numPr>
        <w:bidi/>
        <w:spacing w:after="60" w:line="340"/>
        <w:jc w:val="both"/>
      </w:pPr>
      <w:r>
        <w:rPr>
          <w:rFonts w:ascii="Simplified Arabic" w:cs="Simplified Arabic" w:hAnsi="Simplified Arabic"/>
          <w:sz w:val="28"/>
          <w:szCs w:val="28"/>
          <w:rtl/>
        </w:rPr>
        <w:t xml:space="preserve">الأحكام السنغافورية: elitigation.sg</w:t>
      </w:r>
    </w:p>
    <w:p>
      <w:pPr>
        <w:pStyle w:val="ListParagraph"/>
        <w:numPr>
          <w:ilvl w:val="0"/>
          <w:numId w:val="2"/>
        </w:numPr>
        <w:bidi/>
        <w:spacing w:after="60" w:line="340"/>
        <w:jc w:val="both"/>
      </w:pPr>
      <w:r>
        <w:rPr>
          <w:rFonts w:ascii="Simplified Arabic" w:cs="Simplified Arabic" w:hAnsi="Simplified Arabic"/>
          <w:sz w:val="28"/>
          <w:szCs w:val="28"/>
          <w:rtl/>
        </w:rPr>
        <w:t xml:space="preserve">محاكم مركز دبي المالي العالمي: difccourts.ae</w:t>
      </w:r>
    </w:p>
    <w:p>
      <w:pPr>
        <w:pStyle w:val="ListParagraph"/>
        <w:numPr>
          <w:ilvl w:val="0"/>
          <w:numId w:val="2"/>
        </w:numPr>
        <w:bidi/>
        <w:spacing w:after="60" w:line="340"/>
        <w:jc w:val="both"/>
      </w:pPr>
      <w:r>
        <w:rPr>
          <w:rFonts w:ascii="Simplified Arabic" w:cs="Simplified Arabic" w:hAnsi="Simplified Arabic"/>
          <w:sz w:val="28"/>
          <w:szCs w:val="28"/>
          <w:rtl/>
        </w:rPr>
        <w:t xml:space="preserve">مستودع جامعة قطر: qspace.qu.edu.qa</w:t>
      </w:r>
    </w:p>
    <w:p>
      <w:pPr>
        <w:pStyle w:val="ListParagraph"/>
        <w:numPr>
          <w:ilvl w:val="0"/>
          <w:numId w:val="2"/>
        </w:numPr>
        <w:bidi/>
        <w:spacing w:after="60" w:line="340"/>
        <w:jc w:val="both"/>
      </w:pPr>
      <w:r>
        <w:rPr>
          <w:rFonts w:ascii="Simplified Arabic" w:cs="Simplified Arabic" w:hAnsi="Simplified Arabic"/>
          <w:sz w:val="28"/>
          <w:szCs w:val="28"/>
          <w:rtl/>
        </w:rPr>
        <w:t xml:space="preserve">دار الإفتاء المصرية: dar-alifta.org</w:t>
      </w:r>
    </w:p>
    <w:p>
      <w:pPr>
        <w:pStyle w:val="ListParagraph"/>
        <w:numPr>
          <w:ilvl w:val="0"/>
          <w:numId w:val="2"/>
        </w:numPr>
        <w:bidi/>
        <w:spacing w:after="60" w:line="340"/>
        <w:jc w:val="both"/>
      </w:pPr>
      <w:r>
        <w:rPr>
          <w:rFonts w:ascii="Simplified Arabic" w:cs="Simplified Arabic" w:hAnsi="Simplified Arabic"/>
          <w:sz w:val="28"/>
          <w:szCs w:val="28"/>
          <w:rtl/>
        </w:rPr>
        <w:t xml:space="preserve">مجمع الفقه الإسلامي الدولي: iifa-aifi.org</w:t>
      </w:r>
    </w:p>
    <w:p>
      <w:pPr>
        <w:pStyle w:val="Heading3"/>
        <w:keepNext/>
        <w:bidi/>
        <w:spacing w:after="120" w:before="240"/>
        <w:jc w:val="right"/>
      </w:pPr>
      <w:r>
        <w:rPr>
          <w:rFonts w:ascii="Simplified Arabic" w:cs="Simplified Arabic" w:hAnsi="Simplified Arabic"/>
          <w:b/>
          <w:bCs/>
          <w:color w:val="2E5597"/>
          <w:sz w:val="30"/>
          <w:szCs w:val="30"/>
          <w:rtl/>
        </w:rPr>
        <w:t xml:space="preserve">سابعًا: مراجع يلزم التحقق منها قبل الاعتماد</w:t>
      </w:r>
    </w:p>
    <w:p>
      <w:pPr>
        <w:pStyle w:val="ListParagraph"/>
        <w:numPr>
          <w:ilvl w:val="0"/>
          <w:numId w:val="2"/>
        </w:numPr>
        <w:bidi/>
        <w:spacing w:after="60" w:line="340"/>
        <w:jc w:val="both"/>
      </w:pPr>
      <w:r>
        <w:rPr>
          <w:rFonts w:ascii="Simplified Arabic" w:cs="Simplified Arabic" w:hAnsi="Simplified Arabic"/>
          <w:sz w:val="28"/>
          <w:szCs w:val="28"/>
          <w:rtl/>
        </w:rPr>
        <w:t xml:space="preserve">النصوص الرسمية لتعميمي مصرف قطر المركزي رقم (6) لسنة 2018 ورقم (46) لسنة 2019، ولتنبيه هيئة تنظيم مركز قطر للمال الصادر في ديسمبر 2019.</w:t>
      </w:r>
    </w:p>
    <w:p>
      <w:pPr>
        <w:pStyle w:val="ListParagraph"/>
        <w:numPr>
          <w:ilvl w:val="0"/>
          <w:numId w:val="2"/>
        </w:numPr>
        <w:bidi/>
        <w:spacing w:after="60" w:line="340"/>
        <w:jc w:val="both"/>
      </w:pPr>
      <w:r>
        <w:rPr>
          <w:rFonts w:ascii="Simplified Arabic" w:cs="Simplified Arabic" w:hAnsi="Simplified Arabic"/>
          <w:sz w:val="28"/>
          <w:szCs w:val="28"/>
          <w:rtl/>
        </w:rPr>
        <w:t xml:space="preserve">قانون مكافحة غسل الأموال وتمويل الإرهاب القطري، والمتداول أنه القانون رقم 20 لسنة 2019: هل يعرّف الأصول الافتراضية؟ ويُراجع معه تقرير التقييم المتبادل لقطر (2023) في شأن التوصية 15.</w:t>
      </w:r>
    </w:p>
    <w:p>
      <w:pPr>
        <w:pStyle w:val="ListParagraph"/>
        <w:numPr>
          <w:ilvl w:val="0"/>
          <w:numId w:val="2"/>
        </w:numPr>
        <w:bidi/>
        <w:spacing w:after="60" w:line="340"/>
        <w:jc w:val="both"/>
      </w:pPr>
      <w:r>
        <w:rPr>
          <w:rFonts w:ascii="Simplified Arabic" w:cs="Simplified Arabic" w:hAnsi="Simplified Arabic"/>
          <w:sz w:val="28"/>
          <w:szCs w:val="28"/>
          <w:rtl/>
        </w:rPr>
        <w:t xml:space="preserve">عدة نصوص قطرية: القانون المدني، والمتداول أنه القانون رقم 22 لسنة 2004، ونص مادته (59) في تقسيم الأموال؛ وقانون المرافعات المدنية والتجارية؛ وقانون الضريبة على الدخل؛ وقانون المعاملات والتجارة الإلكترونية.</w:t>
      </w:r>
    </w:p>
    <w:p>
      <w:pPr>
        <w:pStyle w:val="ListParagraph"/>
        <w:numPr>
          <w:ilvl w:val="0"/>
          <w:numId w:val="2"/>
        </w:numPr>
        <w:bidi/>
        <w:spacing w:after="60" w:line="340"/>
        <w:jc w:val="both"/>
      </w:pPr>
      <w:r>
        <w:rPr>
          <w:rFonts w:ascii="Simplified Arabic" w:cs="Simplified Arabic" w:hAnsi="Simplified Arabic"/>
          <w:sz w:val="28"/>
          <w:szCs w:val="28"/>
          <w:rtl/>
        </w:rPr>
        <w:t xml:space="preserve">قانون الضريبة على الدخل المصري (المتداول أنه القانون رقم 91 لسنة 2005)، وقانون التحكيم في المواد المدنية والتجارية، والموقف الرسمي لمصلحة الضرائب المصرية من أرباح العملات المشفرة.</w:t>
      </w:r>
    </w:p>
    <w:p>
      <w:pPr>
        <w:pStyle w:val="ListParagraph"/>
        <w:numPr>
          <w:ilvl w:val="0"/>
          <w:numId w:val="2"/>
        </w:numPr>
        <w:bidi/>
        <w:spacing w:after="60" w:line="340"/>
        <w:jc w:val="both"/>
      </w:pPr>
      <w:r>
        <w:rPr>
          <w:rFonts w:ascii="Simplified Arabic" w:cs="Simplified Arabic" w:hAnsi="Simplified Arabic"/>
          <w:sz w:val="28"/>
          <w:szCs w:val="28"/>
          <w:rtl/>
        </w:rPr>
        <w:t xml:space="preserve">مدى نفاذ القانون القطري رقم 33 لسنة 2005 بعد صدور القانون رقم 8 لسنة 2012، ورقم المادة التي تنظم الاختصاص بفض المنازعات في القانون الأخير.</w:t>
      </w:r>
    </w:p>
    <w:p>
      <w:pPr>
        <w:pStyle w:val="ListParagraph"/>
        <w:numPr>
          <w:ilvl w:val="0"/>
          <w:numId w:val="2"/>
        </w:numPr>
        <w:bidi/>
        <w:spacing w:after="60" w:line="340"/>
        <w:jc w:val="both"/>
      </w:pPr>
      <w:r>
        <w:rPr>
          <w:rFonts w:ascii="Simplified Arabic" w:cs="Simplified Arabic" w:hAnsi="Simplified Arabic"/>
          <w:sz w:val="28"/>
          <w:szCs w:val="28"/>
          <w:rtl/>
        </w:rPr>
        <w:t xml:space="preserve">التزام مصر وقطر بإطار الإبلاغ عن الأصول المشفرة (CARF)، وسنة التطبيق في كل منهما.</w:t>
      </w:r>
    </w:p>
    <w:p>
      <w:pPr>
        <w:pStyle w:val="ListParagraph"/>
        <w:numPr>
          <w:ilvl w:val="0"/>
          <w:numId w:val="2"/>
        </w:numPr>
        <w:bidi/>
        <w:spacing w:after="60" w:line="340"/>
        <w:jc w:val="both"/>
      </w:pPr>
      <w:r>
        <w:rPr>
          <w:rFonts w:ascii="Simplified Arabic" w:cs="Simplified Arabic" w:hAnsi="Simplified Arabic"/>
          <w:sz w:val="28"/>
          <w:szCs w:val="28"/>
          <w:rtl/>
        </w:rPr>
        <w:t xml:space="preserve">مشروع الجنيه الرقمي لدى البنك المركزي المصري، ونتائج المرحلة التجريبية لعملة الجملة لدى مصرف قطر المركزي بعد أكتوبر 2024.</w:t>
      </w:r>
    </w:p>
    <w:p>
      <w:pPr>
        <w:pStyle w:val="ListParagraph"/>
        <w:numPr>
          <w:ilvl w:val="0"/>
          <w:numId w:val="2"/>
        </w:numPr>
        <w:bidi/>
        <w:spacing w:after="60" w:line="340"/>
        <w:jc w:val="both"/>
      </w:pPr>
      <w:r>
        <w:rPr>
          <w:rFonts w:ascii="Simplified Arabic" w:cs="Simplified Arabic" w:hAnsi="Simplified Arabic"/>
          <w:sz w:val="28"/>
          <w:szCs w:val="28"/>
          <w:rtl/>
        </w:rPr>
        <w:t xml:space="preserve">أرقام قضايا المحكمة الاقتصادية بالقاهرة لسنة 2023، وأسباب الحكمين، ومقدار الغرامات، ومصير الطعون فيهما.</w:t>
      </w:r>
    </w:p>
    <w:p>
      <w:pPr>
        <w:pStyle w:val="ListParagraph"/>
        <w:numPr>
          <w:ilvl w:val="0"/>
          <w:numId w:val="2"/>
        </w:numPr>
        <w:bidi/>
        <w:spacing w:after="60" w:line="340"/>
        <w:jc w:val="both"/>
      </w:pPr>
      <w:r>
        <w:rPr>
          <w:rFonts w:ascii="Simplified Arabic" w:cs="Simplified Arabic" w:hAnsi="Simplified Arabic"/>
          <w:sz w:val="28"/>
          <w:szCs w:val="28"/>
          <w:rtl/>
        </w:rPr>
        <w:t xml:space="preserve">رقم الإسناد الرسمي لحكم محكمة الاستئناف في قضية Gate Mena &amp; Huobi v Tabarak، والتاريخ الدقيق لحكم إعادة المحاكمة (DEC 002/2024).</w:t>
      </w:r>
    </w:p>
    <w:p>
      <w:pPr>
        <w:pStyle w:val="ListParagraph"/>
        <w:numPr>
          <w:ilvl w:val="0"/>
          <w:numId w:val="2"/>
        </w:numPr>
        <w:bidi/>
        <w:spacing w:after="60" w:line="340"/>
        <w:jc w:val="both"/>
      </w:pPr>
      <w:r>
        <w:rPr>
          <w:rFonts w:ascii="Simplified Arabic" w:cs="Simplified Arabic" w:hAnsi="Simplified Arabic"/>
          <w:sz w:val="28"/>
          <w:szCs w:val="28"/>
          <w:rtl/>
        </w:rPr>
        <w:t xml:space="preserve">«الوسيط في شرح القانون المدني» للسنهوري، والمؤلفات العامة في المالية العامة لأساتذة الكلية، ومؤلفات الأساس في النظرية النقدية (Menger، وKnapp، وHayek) وورقة Nakamoto التأسيسية، ببياناتها الأصلية.</w:t>
      </w:r>
    </w:p>
    <w:p>
      <w:pPr>
        <w:pBdr>
          <w:bottom w:val="single" w:color="AAAAAA" w:sz="6" w:space="1"/>
        </w:pBdr>
        <w:bidi/>
        <w:spacing w:after="120"/>
      </w:pPr>
    </w:p>
    <w:p>
      <w:pPr>
        <w:pStyle w:val="Heading2"/>
        <w:keepNext/>
        <w:bidi/>
        <w:spacing w:after="120" w:before="360"/>
        <w:jc w:val="center"/>
      </w:pPr>
      <w:r>
        <w:rPr>
          <w:rFonts w:ascii="Simplified Arabic" w:cs="Simplified Arabic" w:hAnsi="Simplified Arabic"/>
          <w:b/>
          <w:bCs/>
          <w:color w:val="1F3864"/>
          <w:sz w:val="32"/>
          <w:szCs w:val="32"/>
          <w:rtl/>
        </w:rPr>
        <w:t xml:space="preserve">خامس عشر: الجدول الزمني المقترح لإنجاز الرسالة</w:t>
      </w:r>
    </w:p>
    <w:p>
      <w:pPr>
        <w:bidi/>
        <w:spacing w:after="120" w:line="360"/>
        <w:jc w:val="both"/>
      </w:pPr>
      <w:r>
        <w:rPr>
          <w:rFonts w:ascii="Simplified Arabic" w:cs="Simplified Arabic" w:hAnsi="Simplified Arabic"/>
          <w:sz w:val="28"/>
          <w:szCs w:val="28"/>
          <w:rtl/>
        </w:rPr>
        <w:t xml:space="preserve">يمتد الجدول على اثنين وأربعين شهرًا:</w:t>
      </w:r>
    </w:p>
    <w:p>
      <w:pPr>
        <w:pStyle w:val="ListParagraph"/>
        <w:numPr>
          <w:ilvl w:val="0"/>
          <w:numId w:val="2"/>
        </w:numPr>
        <w:bidi/>
        <w:spacing w:after="60" w:line="340"/>
        <w:jc w:val="both"/>
      </w:pPr>
      <w:r>
        <w:rPr>
          <w:rFonts w:ascii="Simplified Arabic" w:cs="Simplified Arabic" w:hAnsi="Simplified Arabic"/>
          <w:sz w:val="28"/>
          <w:szCs w:val="28"/>
          <w:rtl/>
        </w:rPr>
        <w:t xml:space="preserve">ستة وثلاثون شهرًا منها هي الحد الأدنى لمدة البحث في لائحة الدراسات العليا المنشورة، وتُحسب من تاريخ موافقة مجلس الكلية على التسجيل.</w:t>
      </w:r>
    </w:p>
    <w:p>
      <w:pPr>
        <w:pStyle w:val="ListParagraph"/>
        <w:numPr>
          <w:ilvl w:val="0"/>
          <w:numId w:val="2"/>
        </w:numPr>
        <w:bidi/>
        <w:spacing w:after="60" w:line="340"/>
        <w:jc w:val="both"/>
      </w:pPr>
      <w:r>
        <w:rPr>
          <w:rFonts w:ascii="Simplified Arabic" w:cs="Simplified Arabic" w:hAnsi="Simplified Arabic"/>
          <w:sz w:val="28"/>
          <w:szCs w:val="28"/>
          <w:rtl/>
        </w:rPr>
        <w:t xml:space="preserve">والأشهر الستة الباقية هامش للتحديث والإيداع.</w:t>
      </w:r>
    </w:p>
    <w:p>
      <w:pPr>
        <w:bidi/>
        <w:spacing w:after="120" w:line="360"/>
        <w:jc w:val="both"/>
      </w:pPr>
      <w:r>
        <w:rPr>
          <w:rFonts w:ascii="Simplified Arabic" w:cs="Simplified Arabic" w:hAnsi="Simplified Arabic"/>
          <w:sz w:val="28"/>
          <w:szCs w:val="28"/>
          <w:rtl/>
        </w:rPr>
        <w:t xml:space="preserve">ويسقط التسجيل بمضي خمس سنوات، إلا إذا قرر القسم الإبقاء عليه مدة لا تجاوز سنتين. ويُراجع عند التسجيل أمران: هل الواجبة التطبيق هي لائحة الدراسات العليا بنظام الساعات المعتمدة، الصادرة بالقرار الوزاري رقم 1346 بتاريخ 23/7/2024 والمعمول بها من العام الجامعي 2024/2025؟ وهل تشترط هذه اللائحة مقررات أو حلقات بحثية؟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المرحلة</w:t>
            </w:r>
          </w:p>
        </w:tc>
        <w:tc>
          <w:tcPr>
            <w:tcW w:type="dxa" w:w="22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المدة (بالشهور من تاريخ التسجيل)</w:t>
            </w:r>
          </w:p>
        </w:tc>
        <w:tc>
          <w:tcPr>
            <w:tcW w:type="dxa" w:w="22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العمل المطلوب</w:t>
            </w:r>
          </w:p>
        </w:tc>
        <w:tc>
          <w:tcPr>
            <w:tcW w:type="dxa" w:w="225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bidi/>
              <w:jc w:val="right"/>
            </w:pPr>
            <w:r>
              <w:rPr>
                <w:rFonts w:ascii="Simplified Arabic" w:cs="Simplified Arabic" w:hAnsi="Simplified Arabic"/>
                <w:b/>
                <w:bCs/>
                <w:sz w:val="24"/>
                <w:szCs w:val="24"/>
                <w:rtl/>
              </w:rPr>
              <w:t xml:space="preserve">المخرجات</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الأولى</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استكمال إجراءات التسجيل والإفادة عن العنوان؛ والمقررات إن اشترطتها اللائحة؛ وجمع النصوص الرسمية وصور الأحكام؛ والتحقق من المراجع المعلقة</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ملف المصادر الرسمية، وقائمة المراجع المحدثة</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الثانية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5–10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كتابة الفصل التمهيدي والفصل الأول من الباب الأول</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مسودة تُعرض على المشرف</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الثالثة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11–17</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كتابة الفصلين الثاني والثالث من الباب الأول (النماذج التنظيمية والسيادة النقدية، والأبعاد المالية العامة)</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مسودة الباب الأول كاملًا</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الرابعة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18–25</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كتابة الباب الثاني بفصوله الثلاثة</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مسودة الباب الثاني</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الخامسة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26–30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تحديث المستجدات، ثم تجميد المادة العلمية في نهاية الشهر الثلاثين، وصياغة الخاتمة والنصوص التشريعية المقترحة</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المسودة الكاملة للرسالة</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السادسة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31–36</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المراجعة العلمية الشاملة مع المشرف، والتدقيق اللغوي والتوثيقي، وإعداد الفهارس</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النسخة المعدّة للمناقشة</w:t>
            </w:r>
          </w:p>
        </w:tc>
      </w:tr>
      <w:tr>
        <w:trPr>
          <w:tblHeader w:val="false"/>
        </w:trPr>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السابعة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37–42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هامش للتحديث، وإعداد ملحق المستجدات والملخصين العربي والأجنبي، والطباعة والإيداع واستيفاء متطلبات التسليم الإلكتروني</w:t>
            </w:r>
          </w:p>
        </w:tc>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jc w:val="right"/>
            </w:pPr>
            <w:r>
              <w:rPr>
                <w:rFonts w:ascii="Simplified Arabic" w:cs="Simplified Arabic" w:hAnsi="Simplified Arabic"/>
                <w:b w:val="false"/>
                <w:sz w:val="24"/>
                <w:szCs w:val="24"/>
                <w:rtl/>
              </w:rPr>
              <w:t xml:space="preserve">الإيداع وطلب تشكيل لجنة المناقشة</w:t>
            </w:r>
          </w:p>
        </w:tc>
      </w:tr>
    </w:tbl>
    <w:p>
      <w:pPr>
        <w:bidi/>
      </w:pPr>
    </w:p>
    <w:p>
      <w:pPr>
        <w:bidi/>
        <w:spacing w:after="120" w:line="360"/>
        <w:jc w:val="both"/>
      </w:pPr>
      <w:r>
        <w:rPr>
          <w:rFonts w:ascii="Simplified Arabic" w:cs="Simplified Arabic" w:hAnsi="Simplified Arabic"/>
          <w:sz w:val="28"/>
          <w:szCs w:val="28"/>
          <w:rtl/>
        </w:rPr>
        <w:t xml:space="preserve">ويلتزم الباحث طوال المراحل كلها بعرض تقارير دورية على الأستاذ المشرف.</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lvl>
    <w:lvl w:ilvl="1" w15:tentative="1">
      <w:start w:val="1"/>
      <w:numFmt w:val="bullet"/>
      <w:lvlText w:val="○"/>
      <w:lvlJc w:val="right"/>
      <w:pPr>
        <w:ind w:start="1080" w:hanging="360"/>
      </w:pPr>
    </w:lvl>
    <w:lvl w:ilvl="2" w15:tentative="1">
      <w:start w:val="1"/>
      <w:numFmt w:val="bullet"/>
      <w:lvlText w:val="■"/>
      <w:lvlJc w:val="right"/>
      <w:pPr>
        <w:ind w:star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رسالة الدكتوراه</dc:title>
  <cp:lastModifiedBy>Un-named</cp:lastModifiedBy>
  <cp:revision>1</cp:revision>
  <dcterms:created xsi:type="dcterms:W3CDTF">2026-10-10T15:57:52.796Z</dcterms:created>
  <dcterms:modified xsi:type="dcterms:W3CDTF">2026-10-10T15:57:52.801Z</dcterms:modified>
</cp:coreProperties>
</file>

<file path=docProps/custom.xml><?xml version="1.0" encoding="utf-8"?>
<Properties xmlns="http://schemas.openxmlformats.org/officeDocument/2006/custom-properties" xmlns:vt="http://schemas.openxmlformats.org/officeDocument/2006/docPropsVTypes"/>
</file>