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E0F80" w14:textId="77777777" w:rsidR="00263E0E" w:rsidRDefault="009D73A4">
      <w:pPr>
        <w:pStyle w:val="Ttulo"/>
      </w:pPr>
      <w:r>
        <w:t>Modelos de Difusión para Instrumentos de Tipo de Cambio (FX)</w:t>
      </w:r>
    </w:p>
    <w:p w14:paraId="37D56C81" w14:textId="77777777" w:rsidR="00263E0E" w:rsidRDefault="009D73A4">
      <w:pPr>
        <w:pStyle w:val="Ttulo1"/>
      </w:pPr>
      <w:bookmarkStart w:id="0" w:name="introducción"/>
      <w:r>
        <w:t>Introducción</w:t>
      </w:r>
    </w:p>
    <w:p w14:paraId="11B063E3" w14:textId="77777777" w:rsidR="00263E0E" w:rsidRDefault="009D73A4">
      <w:pPr>
        <w:pStyle w:val="FirstParagraph"/>
      </w:pPr>
      <w:r>
        <w:t>Los instrumentos de FX dependen de tres factores de riesgo: tipo de cambio y tipos de interés de ambas monedas:</w:t>
      </w:r>
    </w:p>
    <w:p w14:paraId="36F4B8D5" w14:textId="77777777" w:rsidR="00263E0E" w:rsidRDefault="009D73A4">
      <w:pPr>
        <w:pStyle w:val="Compact"/>
        <w:numPr>
          <w:ilvl w:val="0"/>
          <w:numId w:val="2"/>
        </w:numPr>
      </w:pPr>
      <w:r>
        <w:rPr>
          <w:b/>
          <w:bCs/>
        </w:rPr>
        <w:t>Tipo de Cambio Spot FX</w:t>
      </w:r>
    </w:p>
    <w:p w14:paraId="65639426" w14:textId="77777777" w:rsidR="00263E0E" w:rsidRDefault="009D73A4">
      <w:pPr>
        <w:pStyle w:val="FirstParagraph"/>
      </w:pPr>
      <w:r>
        <w:t>Intercambio y valor en moneda local de los nominales de la operación van a estar determinados por el valor terminal de es</w:t>
      </w:r>
      <w:r>
        <w:t>te tipo de cambio, por lo que es el factor de riesgo dominante en este tipo de operaciones financieras.</w:t>
      </w:r>
    </w:p>
    <w:p w14:paraId="38376EAA" w14:textId="77777777" w:rsidR="00263E0E" w:rsidRDefault="009D73A4">
      <w:pPr>
        <w:pStyle w:val="Compact"/>
        <w:numPr>
          <w:ilvl w:val="0"/>
          <w:numId w:val="3"/>
        </w:numPr>
      </w:pPr>
      <w:r>
        <w:rPr>
          <w:b/>
          <w:bCs/>
        </w:rPr>
        <w:t>Tipos de Interés</w:t>
      </w:r>
    </w:p>
    <w:p w14:paraId="419D4913" w14:textId="77777777" w:rsidR="00263E0E" w:rsidRDefault="009D73A4">
      <w:pPr>
        <w:pStyle w:val="FirstParagraph"/>
      </w:pPr>
      <w:r>
        <w:t xml:space="preserve">Por un lado, el diferencial entre moneda local y foránea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va a condicionar el tipo Forward FX a plazo y además la estructura t</w:t>
      </w:r>
      <w:r>
        <w:t>emporal de tipos de interés de la moneda local va a determinar el descuento de los flujos de liquidación existentes.</w:t>
      </w:r>
    </w:p>
    <w:p w14:paraId="4A092529" w14:textId="77777777" w:rsidR="00263E0E" w:rsidRDefault="009D73A4">
      <w:pPr>
        <w:pStyle w:val="Textoindependiente"/>
      </w:pPr>
      <w:r>
        <w:t>Es importante reseñar que aun cuando sea de menor relevancia que el tipo de cambio Spot para el cálculo del valor razonable de una operació</w:t>
      </w:r>
      <w:r>
        <w:t>n, la estructura de las correlaciones entre los tipos de interés local, foráneo y tipo de cambio va a ser determinante en las exposiciones crediticias y, por tanto, en el cálculo del CVA.</w:t>
      </w:r>
    </w:p>
    <w:p w14:paraId="5BE365C4" w14:textId="77777777" w:rsidR="00263E0E" w:rsidRDefault="009D73A4">
      <w:pPr>
        <w:pStyle w:val="Ttulo1"/>
      </w:pPr>
      <w:bookmarkStart w:id="1" w:name="Xd6d81e908416ebfc94030bc937390b288426677"/>
      <w:bookmarkEnd w:id="0"/>
      <w:r>
        <w:t>Modelo de Difusión para Exposiciones y CVA</w:t>
      </w:r>
    </w:p>
    <w:p w14:paraId="3DC4022B" w14:textId="77777777" w:rsidR="00263E0E" w:rsidRDefault="009D73A4">
      <w:pPr>
        <w:pStyle w:val="FirstParagraph"/>
      </w:pPr>
      <w:r>
        <w:t>En el caso más general, A</w:t>
      </w:r>
      <w:r>
        <w:t>daptiv Analytics (AA, por brevedad) modela el tipo de cambio FX, asumiendo un Movimiento Browniano Geométrico (GBM en lo que sigue) con estructura temporal determinista a plazo para la volatilidad del éste. En este mismo marco, se consideran tipos de inter</w:t>
      </w:r>
      <w:r>
        <w:t>és estocásticos y con una estructura de correlaciones distinta a la trivial con el tipo de cambio (FX, en adelante).</w:t>
      </w:r>
    </w:p>
    <w:p w14:paraId="23941007" w14:textId="77777777" w:rsidR="00263E0E" w:rsidRDefault="009D73A4">
      <w:pPr>
        <w:pStyle w:val="Textoindependiente"/>
      </w:pPr>
      <w:r>
        <w:t>Explícitamente, el tipo FX modelado viene determinado por las siguientes dinámicas de los factores de riesgo implicados:</w:t>
      </w:r>
    </w:p>
    <w:bookmarkStart w:id="2" w:name="eq-FX-HW_initial"/>
    <w:p w14:paraId="02379F4F" w14:textId="77777777" w:rsidR="00263E0E" w:rsidRDefault="009D73A4">
      <w:pPr>
        <w:pStyle w:val="Textoindependiente"/>
      </w:pPr>
      <m:oMathPara>
        <m:oMathParaPr>
          <m:jc m:val="center"/>
        </m:oMathParaPr>
        <m:oMath>
          <m:d>
            <m:dPr>
              <m:begChr m:val=""/>
              <m:endChr m:val="}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righ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m:rPr>
                            <m:scr m:val="double-struck"/>
                            <m:sty m:val="p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</m: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dt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r>
                          <m:rPr>
                            <m:scr m:val="double-struck"/>
                            <m:sty m:val="p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</m: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dt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p>
                        </m:sSup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  <m:mr>
                  <m:e/>
                  <m:e/>
                  <m:e/>
                  <m:e/>
                  <m:e/>
                </m:mr>
              </m:m>
            </m:e>
          </m:d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  <w:bookmarkEnd w:id="2"/>
    </w:p>
    <w:p w14:paraId="2AE7471B" w14:textId="77777777" w:rsidR="00263E0E" w:rsidRDefault="009D73A4">
      <w:pPr>
        <w:pStyle w:val="FirstParagraph"/>
      </w:pPr>
      <w:r>
        <w:t>donde:</w:t>
      </w:r>
    </w:p>
    <w:p w14:paraId="059FB380" w14:textId="77777777" w:rsidR="00263E0E" w:rsidRDefault="009D73A4">
      <w:pPr>
        <w:numPr>
          <w:ilvl w:val="0"/>
          <w:numId w:val="4"/>
        </w:numPr>
      </w:pPr>
      <m:oMath>
        <m:r>
          <w:rPr>
            <w:rFonts w:ascii="Cambria Math" w:hAnsi="Cambria Math"/>
          </w:rPr>
          <w:lastRenderedPageBreak/>
          <m:t>X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representa el tipo de cambio en unidades de la moneda base. Así, por ejemplo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$/€</m:t>
            </m:r>
          </m:sub>
        </m:sSub>
      </m:oMath>
      <w:r>
        <w:t xml:space="preserve"> expresa en euros el valor de un dólar. P</w:t>
      </w:r>
      <w:r>
        <w:t xml:space="preserve">or brevedad, mantendremos la notación simplificada </w:t>
      </w:r>
      <m:oMath>
        <m:r>
          <w:rPr>
            <w:rFonts w:ascii="Cambria Math" w:hAnsi="Cambria Math"/>
          </w:rPr>
          <m:t>X</m:t>
        </m:r>
      </m:oMath>
      <w:r>
        <w:t xml:space="preserve"> en lo que sigue.</w:t>
      </w:r>
    </w:p>
    <w:p w14:paraId="5AB5F410" w14:textId="77777777" w:rsidR="00263E0E" w:rsidRDefault="009D73A4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determina la trayectoria estocástica futura del tipo de interés instantáneo de la moneda base que adopta el rol de moneda doméstica.</w:t>
      </w:r>
    </w:p>
    <w:p w14:paraId="1160FD5B" w14:textId="77777777" w:rsidR="00263E0E" w:rsidRDefault="009D73A4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determina la trayectoria estocástica futur</w:t>
      </w:r>
      <w:r>
        <w:t>a del tipo de interés instantáneo de la moneda foránea.</w:t>
      </w:r>
    </w:p>
    <w:p w14:paraId="50E442FB" w14:textId="77777777" w:rsidR="00263E0E" w:rsidRDefault="009D73A4">
      <w:pPr>
        <w:numPr>
          <w:ilvl w:val="0"/>
          <w:numId w:val="4"/>
        </w:numPr>
      </w:pPr>
      <m:oMath>
        <m:r>
          <m:rPr>
            <m:scr m:val="double-struck"/>
            <m:sty m:val="p"/>
          </m:rPr>
          <w:rPr>
            <w:rFonts w:ascii="Cambria Math" w:hAnsi="Cambria Math"/>
          </w:rPr>
          <m:t>Q</m:t>
        </m:r>
      </m:oMath>
      <w:r>
        <w:t xml:space="preserve"> representa la medida de probabilidad asociada al numerario de la cuenta del mercado monetario denominada en la moneda base o doméstica </w:t>
      </w:r>
      <m:oMath>
        <m:r>
          <w:rPr>
            <w:rFonts w:ascii="Cambria Math" w:hAnsi="Cambria Math"/>
          </w:rPr>
          <m:t>d</m:t>
        </m:r>
      </m:oMath>
      <w:r>
        <w:t>, esto es la medida riego neutral.</w:t>
      </w:r>
    </w:p>
    <w:p w14:paraId="5FEA767E" w14:textId="77777777" w:rsidR="00263E0E" w:rsidRDefault="009D73A4">
      <w:pPr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f</m:t>
            </m:r>
          </m:sup>
        </m:sSup>
      </m:oMath>
      <w:r>
        <w:t xml:space="preserve"> representa la medida d</w:t>
      </w:r>
      <w:r>
        <w:t xml:space="preserve">e probabilidad asociada al numerario de la cuenta del mercado monetario de la moneda foránea </w:t>
      </w:r>
      <m:oMath>
        <m:r>
          <w:rPr>
            <w:rFonts w:ascii="Cambria Math" w:hAnsi="Cambria Math"/>
          </w:rPr>
          <m:t>f</m:t>
        </m:r>
      </m:oMath>
      <w:r>
        <w:t>, esto es la medida riego neutral en esa moneda.</w:t>
      </w:r>
    </w:p>
    <w:p w14:paraId="40D09B69" w14:textId="77777777" w:rsidR="00263E0E" w:rsidRDefault="009D73A4">
      <w:pPr>
        <w:pStyle w:val="FirstParagraph"/>
      </w:pPr>
      <w:r>
        <w:t xml:space="preserve">AA debe simular el conjunto de factores de riesgo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de manera coherente, por lo tanto, la dinámica de</w:t>
      </w:r>
      <w:r>
        <w:t xml:space="preserve">l tipo de interés foráneo,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, debe venir expresada en la medida de probabilidad de la moneda doméstica.</w:t>
      </w:r>
    </w:p>
    <w:p w14:paraId="1DE6EA9B" w14:textId="77777777" w:rsidR="00263E0E" w:rsidRDefault="009D73A4">
      <w:pPr>
        <w:pStyle w:val="Textoindependiente"/>
      </w:pPr>
      <w:r>
        <w:t>De esta manera, finalmente, la especificación completa para las difusiones correspondientes a los factores de riesgo viene dada por:</w:t>
      </w:r>
    </w:p>
    <w:bookmarkStart w:id="3" w:name="eq-FX-HW_AA"/>
    <w:p w14:paraId="3EC2FF85" w14:textId="77777777" w:rsidR="00263E0E" w:rsidRDefault="009D73A4">
      <w:pPr>
        <w:pStyle w:val="Textoindependiente"/>
      </w:pPr>
      <m:oMathPara>
        <m:oMathParaPr>
          <m:jc m:val="center"/>
        </m:oMathParaPr>
        <m:oMath>
          <m:d>
            <m:dPr>
              <m:begChr m:val=""/>
              <m:endChr m:val="}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dt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m:rPr>
                            <m:scr m:val="double-struck"/>
                            <m:sty m:val="p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</m: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dt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r>
                          <m:rPr>
                            <m:scr m:val="double-struck"/>
                            <m:sty m:val="p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</m: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dt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m:rPr>
                            <m:scr m:val="double-struck"/>
                            <m:sty m:val="p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  <m:mr>
                  <m:e/>
                  <m:e/>
                  <m:e/>
                  <m:e/>
                  <m:e/>
                </m:mr>
              </m:m>
            </m:e>
          </m:d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  <w:bookmarkEnd w:id="3"/>
    </w:p>
    <w:p w14:paraId="59D16888" w14:textId="77777777" w:rsidR="00263E0E" w:rsidRDefault="009D73A4">
      <w:pPr>
        <w:pStyle w:val="FirstParagraph"/>
      </w:pPr>
      <w:r>
        <w:t>De tal modo que el tipo FX evoluciona a lo largo del grid definido según la solución para la primera de las difusiones explícitia en (</w:t>
      </w:r>
      <w:hyperlink w:anchor="eq-FX-HW_AA">
        <w:r>
          <w:rPr>
            <w:rStyle w:val="Hipervnculo"/>
          </w:rPr>
          <w:t>Equation 2</w:t>
        </w:r>
      </w:hyperlink>
      <w:r>
        <w:t>)</w:t>
      </w:r>
    </w:p>
    <w:p w14:paraId="51A413BB" w14:textId="77777777" w:rsidR="00263E0E" w:rsidRDefault="009D73A4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dW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d>
        </m:oMath>
      </m:oMathPara>
    </w:p>
    <w:p w14:paraId="1E95BD1C" w14:textId="77777777" w:rsidR="00263E0E" w:rsidRDefault="009D73A4">
      <w:pPr>
        <w:pStyle w:val="FirstParagraph"/>
      </w:pPr>
      <w:r>
        <w:t>donde</w:t>
      </w:r>
    </w:p>
    <w:bookmarkStart w:id="4" w:name="eq-FX-HW_specs"/>
    <w:p w14:paraId="71849C48" w14:textId="77777777" w:rsidR="00263E0E" w:rsidRDefault="009D73A4">
      <w:pPr>
        <w:pStyle w:val="Textoindependiente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e>
                        </m:d>
                      </m:e>
                    </m:nary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ds</m:t>
                    </m:r>
                  </m:e>
                </m:d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ds</m:t>
                </m:r>
              </m:e>
            </m:mr>
            <m:mr>
              <m:e/>
              <m:e/>
              <m:e/>
            </m:mr>
          </m:m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  <w:bookmarkEnd w:id="4"/>
    </w:p>
    <w:p w14:paraId="076C7071" w14:textId="77777777" w:rsidR="00263E0E" w:rsidRDefault="009D73A4">
      <w:pPr>
        <w:pStyle w:val="FirstParagraph"/>
      </w:pPr>
      <w:r>
        <w:t xml:space="preserve">con la notación abreviada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.</w:t>
      </w:r>
    </w:p>
    <w:p w14:paraId="6622634F" w14:textId="77777777" w:rsidR="00263E0E" w:rsidRDefault="009D73A4">
      <w:pPr>
        <w:pStyle w:val="Ttulo2"/>
      </w:pPr>
      <w:bookmarkStart w:id="5" w:name="X08f151e1f064d0e31e3f697979c8894e78d7481"/>
      <w:r>
        <w:lastRenderedPageBreak/>
        <w:t xml:space="preserve">Esperanza del Tipo Spot FX Simulado bajo </w:t>
      </w:r>
      <m:oMath>
        <m:r>
          <m:rPr>
            <m:scr m:val="double-struck"/>
            <m:sty m:val="b"/>
          </m:rPr>
          <w:rPr>
            <w:rFonts w:ascii="Cambria Math" w:hAnsi="Cambria Math"/>
          </w:rPr>
          <m:t>Q</m:t>
        </m:r>
      </m:oMath>
    </w:p>
    <w:p w14:paraId="5048B9BF" w14:textId="77777777" w:rsidR="00263E0E" w:rsidRDefault="009D73A4">
      <w:pPr>
        <w:pStyle w:val="FirstParagraph"/>
      </w:pPr>
      <w:r>
        <w:t xml:space="preserve">De la expresión para </w:t>
      </w:r>
      <m:oMath>
        <m:r>
          <w:rPr>
            <w:rFonts w:ascii="Cambria Math" w:hAnsi="Cambria Math"/>
          </w:rPr>
          <m:t>β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en (</w:t>
      </w:r>
      <w:hyperlink w:anchor="eq-FX-HW_specs">
        <w:r>
          <w:rPr>
            <w:rStyle w:val="Hipervnculo"/>
          </w:rPr>
          <w:t>Equation 3</w:t>
        </w:r>
      </w:hyperlink>
      <w:r>
        <w:t>) se infiere que:</w:t>
      </w:r>
    </w:p>
    <w:p w14:paraId="110AAB62" w14:textId="77777777" w:rsidR="00263E0E" w:rsidRDefault="009D73A4">
      <w:pPr>
        <w:pStyle w:val="Textoindependiente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β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615D7DA8" w14:textId="77777777" w:rsidR="00263E0E" w:rsidRDefault="009D73A4">
      <w:pPr>
        <w:pStyle w:val="FirstParagraph"/>
      </w:pPr>
      <w:r>
        <w:t>Si se fuerza que los tipos de interés simulados en ambas economías sean deterministas, entonces tendremos</w:t>
      </w:r>
    </w:p>
    <w:bookmarkStart w:id="6" w:name="eq-FutureSpotFX"/>
    <w:p w14:paraId="5AAA7291" w14:textId="77777777" w:rsidR="00263E0E" w:rsidRDefault="009D73A4">
      <w:pPr>
        <w:pStyle w:val="Textoindependiente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  <w:bookmarkEnd w:id="6"/>
    </w:p>
    <w:p w14:paraId="57FA0B07" w14:textId="77777777" w:rsidR="00263E0E" w:rsidRDefault="009D73A4">
      <w:pPr>
        <w:pStyle w:val="FirstParagraph"/>
      </w:pPr>
      <w:r>
        <w:t xml:space="preserve">En definitiva, sólo en el caso de tipos de interés deterministas, el tipo spot FX simulado hasta </w:t>
      </w:r>
      <m:oMath>
        <m:r>
          <w:rPr>
            <w:rFonts w:ascii="Cambria Math" w:hAnsi="Cambria Math"/>
          </w:rPr>
          <m:t>t</m:t>
        </m:r>
      </m:oMath>
      <w:r>
        <w:t xml:space="preserve"> bajo la medida riesgo neutral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Q</m:t>
        </m:r>
      </m:oMath>
      <w:r>
        <w:t xml:space="preserve"> se encuentra perfectamente centrado en el precio forward FX a ese mismo plazo. Generalmente, habrá un sesgo debido a la estr</w:t>
      </w:r>
      <w:r>
        <w:t>uctura de correlaciones existente entre tipos de interés y tipo spot FX.</w:t>
      </w:r>
    </w:p>
    <w:p w14:paraId="2E85EA07" w14:textId="77777777" w:rsidR="00263E0E" w:rsidRDefault="009D73A4">
      <w:pPr>
        <w:pStyle w:val="Ttulo2"/>
      </w:pPr>
      <w:bookmarkStart w:id="7" w:name="implementación-numérica"/>
      <w:bookmarkEnd w:id="5"/>
      <w:r>
        <w:t>Implementación numérica</w:t>
      </w:r>
    </w:p>
    <w:p w14:paraId="626FEA41" w14:textId="77777777" w:rsidR="00263E0E" w:rsidRDefault="009D73A4">
      <w:pPr>
        <w:pStyle w:val="FirstParagraph"/>
      </w:pPr>
      <w:r>
        <w:t xml:space="preserve">A continuación se describe la implementación práctica en el grid de </w:t>
      </w:r>
      <w:r>
        <w:rPr>
          <w:i/>
          <w:iCs/>
        </w:rPr>
        <w:t>AA</w:t>
      </w:r>
      <w:r>
        <w:t xml:space="preserve"> para el cálculo de Exposiciones y CVAs en el caso de instrumentos FX o híbrido FX-IR.</w:t>
      </w:r>
    </w:p>
    <w:p w14:paraId="7A7AA609" w14:textId="77777777" w:rsidR="00263E0E" w:rsidRDefault="009D73A4">
      <w:pPr>
        <w:pStyle w:val="Textoindependiente"/>
      </w:pPr>
      <w:r>
        <w:t>La</w:t>
      </w:r>
      <w:r>
        <w:t xml:space="preserve"> expresión para </w:t>
      </w:r>
      <m:oMath>
        <m:r>
          <w:rPr>
            <w:rFonts w:ascii="Cambria Math" w:hAnsi="Cambria Math"/>
          </w:rPr>
          <m:t>β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implica la estimación de la integral de una variable aleatoria del diferencial de tipos de interés estocásticos en cada punto de la discretización escogida para el cálculo de las exposiciones.</w:t>
      </w:r>
    </w:p>
    <w:p w14:paraId="4E40B316" w14:textId="77777777" w:rsidR="00263E0E" w:rsidRDefault="009D73A4">
      <w:pPr>
        <w:pStyle w:val="Textoindependiente"/>
      </w:pPr>
      <w:r>
        <w:rPr>
          <w:i/>
          <w:iCs/>
        </w:rPr>
        <w:t>AA</w:t>
      </w:r>
      <w:r>
        <w:t xml:space="preserve"> utiliza la siguiente aproximación en ca</w:t>
      </w:r>
      <w:r>
        <w:t>da iteración</w:t>
      </w:r>
    </w:p>
    <w:p w14:paraId="23232ABC" w14:textId="77777777" w:rsidR="00263E0E" w:rsidRDefault="009D73A4">
      <w:pPr>
        <w:pStyle w:val="Textoindependiente"/>
      </w:pPr>
      <w:bookmarkStart w:id="8" w:name="eq-FXHW_beta"/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δ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δ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  <w:bookmarkEnd w:id="8"/>
    </w:p>
    <w:p w14:paraId="172B3CAD" w14:textId="77777777" w:rsidR="00263E0E" w:rsidRDefault="009D73A4">
      <w:pPr>
        <w:pStyle w:val="FirstParagraph"/>
      </w:pPr>
      <w:r>
        <w:t>Así cada realización futura del tipo spot FX se determina mediante la expresión:</w:t>
      </w:r>
      <w:r>
        <w:br/>
      </w:r>
    </w:p>
    <w:p w14:paraId="70C36C2C" w14:textId="77777777" w:rsidR="00263E0E" w:rsidRDefault="009D73A4">
      <w:pPr>
        <w:pStyle w:val="Textoindependiente"/>
      </w:pPr>
      <w:bookmarkStart w:id="9" w:name="eq-FXHW_recursion"/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δ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δ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rad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  <w:bookmarkEnd w:id="9"/>
    </w:p>
    <w:p w14:paraId="1419BE16" w14:textId="77777777" w:rsidR="00263E0E" w:rsidRDefault="009D73A4">
      <w:pPr>
        <w:pStyle w:val="FirstParagraph"/>
      </w:pPr>
      <w:r>
        <w:t>siendo</w:t>
      </w:r>
    </w:p>
    <w:p w14:paraId="3A9E0D43" w14:textId="77777777" w:rsidR="00263E0E" w:rsidRDefault="009D73A4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 </m:t>
        </m:r>
      </m:oMath>
      <w:r>
        <w:t>,</w:t>
      </w:r>
    </w:p>
    <w:p w14:paraId="5C6F90D0" w14:textId="77777777" w:rsidR="00263E0E" w:rsidRDefault="009D73A4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Z</m:t>
        </m:r>
      </m:oMath>
      <w:r>
        <w:t xml:space="preserve"> una muestra de una distribución normal estándar</w:t>
      </w:r>
      <w:r>
        <w:t xml:space="preserve">,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∼</m:t>
        </m:r>
        <m:r>
          <m:rPr>
            <m:scr m:val="script"/>
            <m:sty m:val="p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 </m:t>
        </m:r>
      </m:oMath>
      <w:r>
        <w:t>,</w:t>
      </w:r>
    </w:p>
    <w:p w14:paraId="3F1374B9" w14:textId="77777777" w:rsidR="00263E0E" w:rsidRDefault="009D73A4">
      <w:pPr>
        <w:pStyle w:val="Compact"/>
        <w:numPr>
          <w:ilvl w:val="0"/>
          <w:numId w:val="5"/>
        </w:numPr>
      </w:pPr>
      <w:r>
        <w:t xml:space="preserve">mientras que,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δ</m:t>
            </m:r>
          </m:e>
        </m:d>
      </m:oMath>
      <w:r>
        <w:t xml:space="preserve">, es el precio FX Forward observado en </w:t>
      </w:r>
      <m:oMath>
        <m:r>
          <w:rPr>
            <w:rFonts w:ascii="Cambria Math" w:hAnsi="Cambria Math"/>
          </w:rPr>
          <m:t>t</m:t>
        </m:r>
      </m:oMath>
      <w:r>
        <w:t xml:space="preserve"> con vencimiento en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 </m:t>
        </m:r>
      </m:oMath>
      <w:r>
        <w:t>;</w:t>
      </w:r>
    </w:p>
    <w:bookmarkStart w:id="10" w:name="eq-FXFWD"/>
    <w:p w14:paraId="6871AC08" w14:textId="77777777" w:rsidR="00263E0E" w:rsidRDefault="009D73A4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δ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δ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δ</m:t>
                  </m:r>
                </m:e>
              </m:d>
            </m:den>
          </m:f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  <w:bookmarkEnd w:id="10"/>
    </w:p>
    <w:p w14:paraId="6BE18C0A" w14:textId="77777777" w:rsidR="00263E0E" w:rsidRDefault="009D73A4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δ</m:t>
            </m:r>
          </m:e>
        </m:d>
      </m:oMath>
      <w: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δ</m:t>
            </m:r>
          </m:e>
        </m:d>
      </m:oMath>
      <w:r>
        <w:t xml:space="preserve"> </w:t>
      </w:r>
      <w:r>
        <w:t xml:space="preserve">consisten en cada uno de los factores de descuento estocásticos simulados hasta </w:t>
      </w:r>
      <m:oMath>
        <m:r>
          <w:rPr>
            <w:rFonts w:ascii="Cambria Math" w:hAnsi="Cambria Math"/>
          </w:rPr>
          <m:t>t</m:t>
        </m:r>
      </m:oMath>
      <w:r>
        <w:t xml:space="preserve"> y con vencimiento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δ</m:t>
        </m:r>
      </m:oMath>
      <w:r>
        <w:t xml:space="preserve">, para cada una de las monedas relevantes, mientras que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el tipo FX simulado hasta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46C6535E" w14:textId="77777777" w:rsidR="00263E0E" w:rsidRDefault="009D73A4">
      <w:pPr>
        <w:pStyle w:val="Textoindependiente"/>
      </w:pPr>
      <w:r>
        <w:lastRenderedPageBreak/>
        <w:t>La aproximación (</w:t>
      </w:r>
      <w:hyperlink w:anchor="eq-FXHW_beta">
        <w:r>
          <w:rPr>
            <w:rStyle w:val="Hipervnculo"/>
          </w:rPr>
          <w:t>Equatio</w:t>
        </w:r>
        <w:r>
          <w:rPr>
            <w:rStyle w:val="Hipervnculo"/>
          </w:rPr>
          <w:t>n 6</w:t>
        </w:r>
      </w:hyperlink>
      <w:r>
        <w:t>) se discute en Anexo bla bla</w:t>
      </w:r>
    </w:p>
    <w:p w14:paraId="4179212E" w14:textId="77777777" w:rsidR="00263E0E" w:rsidRDefault="009D73A4">
      <w:pPr>
        <w:pStyle w:val="Ttulo2"/>
      </w:pPr>
      <w:bookmarkStart w:id="11" w:name="calibración-del-modelo-de-difusión-fx"/>
      <w:bookmarkEnd w:id="7"/>
      <w:r>
        <w:t>Calibración del Modelo de Difusión FX</w:t>
      </w:r>
    </w:p>
    <w:p w14:paraId="5EFAA7FE" w14:textId="77777777" w:rsidR="00263E0E" w:rsidRDefault="009D73A4">
      <w:pPr>
        <w:pStyle w:val="FirstParagraph"/>
      </w:pPr>
      <w:r>
        <w:t>Por lo expuesto en (</w:t>
      </w:r>
      <w:hyperlink w:anchor="eq-FXHW_beta">
        <w:r>
          <w:rPr>
            <w:rStyle w:val="Hipervnculo"/>
          </w:rPr>
          <w:t>Equation 6</w:t>
        </w:r>
      </w:hyperlink>
      <w:r>
        <w:t xml:space="preserve"> a </w:t>
      </w:r>
      <w:hyperlink w:anchor="eq-FXFWD">
        <w:r>
          <w:rPr>
            <w:rStyle w:val="Hipervnculo"/>
          </w:rPr>
          <w:t>Equation 8</w:t>
        </w:r>
      </w:hyperlink>
      <w:r>
        <w:t xml:space="preserve">) es necesario estimar la estructura temporal de la volatilidad del tipo de </w:t>
      </w:r>
      <w:r>
        <w:t xml:space="preserve">cambio,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.</w:t>
      </w:r>
    </w:p>
    <w:p w14:paraId="510BA3A6" w14:textId="77777777" w:rsidR="00263E0E" w:rsidRDefault="009D73A4">
      <w:pPr>
        <w:pStyle w:val="Textoindependiente"/>
      </w:pPr>
      <w:r>
        <w:t xml:space="preserve">Por otro lado, además, se hace necesarios estimar los parámetros de deriva y difusión correspondientes a los procesos estocásticos asociados a los tipos de interés.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, dado que es necesario conocer los factores de descuento estocást</w:t>
      </w:r>
      <w:r>
        <w:t xml:space="preserve">icos asociados a cada moneda en cada punto del grid para determinar la secuencia de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δ</m:t>
            </m:r>
          </m:e>
        </m:d>
      </m:oMath>
      <w:r>
        <w:t xml:space="preserve"> que, a su vez, condiciona la deriva riesgo neutral del proceso del tipo spot FX futuro.</w:t>
      </w:r>
    </w:p>
    <w:p w14:paraId="4691F21E" w14:textId="77777777" w:rsidR="00263E0E" w:rsidRDefault="009D73A4">
      <w:pPr>
        <w:pStyle w:val="Textoindependiente"/>
      </w:pPr>
      <w:r>
        <w:t>La estimación de estos parámetros relativos a los tipos de interés se dis</w:t>
      </w:r>
      <w:r>
        <w:t>cute en documento Modelos Difusión IR bla bla bla.</w:t>
      </w:r>
    </w:p>
    <w:p w14:paraId="6802486E" w14:textId="77777777" w:rsidR="00263E0E" w:rsidRDefault="009D73A4">
      <w:pPr>
        <w:pStyle w:val="Ttulo3"/>
      </w:pPr>
      <w:bookmarkStart w:id="12" w:name="X790c0dd59bf43d27b9e45b39f8fb22d37ff4200"/>
      <w:r>
        <w:t xml:space="preserve">Calibración de la Estructura Temporal de Varianza </w:t>
      </w:r>
      <m:oMath>
        <m:r>
          <m:rPr>
            <m:sty m:val="bi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</w:p>
    <w:p w14:paraId="3AA19481" w14:textId="77777777" w:rsidR="00263E0E" w:rsidRDefault="009D73A4">
      <w:pPr>
        <w:pStyle w:val="Ttulo4"/>
      </w:pPr>
      <w:bookmarkStart w:id="13" w:name="X0ab0e63bea3d6617d1ec763ae7bbed146c9c9b8"/>
      <w:r>
        <w:t>Estimación de la curva de volatilidad integrada</w:t>
      </w:r>
    </w:p>
    <w:p w14:paraId="63CAEBF5" w14:textId="77777777" w:rsidR="00263E0E" w:rsidRDefault="009D73A4">
      <w:pPr>
        <w:pStyle w:val="FirstParagraph"/>
      </w:pPr>
      <w:r>
        <w:t xml:space="preserve">La curva de varianza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viene determinada por la relación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t</m:t>
        </m:r>
      </m:oMath>
      <w:r>
        <w:t xml:space="preserve">, por lo que debe estimarse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.</w:t>
      </w:r>
    </w:p>
    <w:p w14:paraId="7ACB00B3" w14:textId="77777777" w:rsidR="00263E0E" w:rsidRDefault="009D73A4">
      <w:pPr>
        <w:pStyle w:val="Textoindependiente"/>
      </w:pPr>
      <w:r>
        <w:t xml:space="preserve">La curva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se estima para los plazos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3</m:t>
        </m:r>
      </m:oMath>
      <w:r>
        <w:t xml:space="preserve"> y </w:t>
      </w:r>
      <m:oMath>
        <m:r>
          <w:rPr>
            <w:rFonts w:ascii="Cambria Math" w:hAnsi="Cambria Math"/>
          </w:rPr>
          <m:t>7</m:t>
        </m:r>
      </m:oMath>
      <w:r>
        <w:t xml:space="preserve"> años, partiendo de la volatilidad histórica calculada con ventanas de estimación de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3</m:t>
        </m:r>
      </m:oMath>
      <w:r>
        <w:t xml:space="preserve"> y </w:t>
      </w:r>
      <m:oMath>
        <m:r>
          <w:rPr>
            <w:rFonts w:ascii="Cambria Math" w:hAnsi="Cambria Math"/>
          </w:rPr>
          <m:t>7</m:t>
        </m:r>
      </m:oMath>
      <w:r>
        <w:t xml:space="preserve"> </w:t>
      </w:r>
      <w:r>
        <w:t>años y observaciones darias de precios de cierre con los siguientes criterios adicionales que la modulan:</w:t>
      </w:r>
    </w:p>
    <w:p w14:paraId="58E6C60B" w14:textId="77777777" w:rsidR="00263E0E" w:rsidRDefault="009D73A4">
      <w:pPr>
        <w:numPr>
          <w:ilvl w:val="0"/>
          <w:numId w:val="6"/>
        </w:numPr>
      </w:pPr>
      <w:r>
        <w:t xml:space="preserve">Para operaciones con vencimiento inferior o igual a </w:t>
      </w:r>
      <m:oMath>
        <m:r>
          <w:rPr>
            <w:rFonts w:ascii="Cambria Math" w:hAnsi="Cambria Math"/>
          </w:rPr>
          <m:t>2</m:t>
        </m:r>
      </m:oMath>
      <w:r>
        <w:t xml:space="preserve"> años se utiliza el máximo de las volatilidades de las ventanas </w:t>
      </w:r>
      <m:oMath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</m:oMath>
      <w:r>
        <w:t xml:space="preserve"> y </w:t>
      </w:r>
      <m:oMath>
        <m:r>
          <w:rPr>
            <w:rFonts w:ascii="Cambria Math" w:hAnsi="Cambria Math"/>
          </w:rPr>
          <m:t>7</m:t>
        </m:r>
      </m:oMath>
      <w:r>
        <w:t xml:space="preserve"> años.</w:t>
      </w:r>
    </w:p>
    <w:p w14:paraId="284866F2" w14:textId="77777777" w:rsidR="00263E0E" w:rsidRDefault="009D73A4">
      <w:pPr>
        <w:numPr>
          <w:ilvl w:val="0"/>
          <w:numId w:val="6"/>
        </w:numPr>
      </w:pPr>
      <w:r>
        <w:t>Para operaciones c</w:t>
      </w:r>
      <w:r>
        <w:t xml:space="preserve">on vencimiento </w:t>
      </w:r>
      <m:oMath>
        <m:r>
          <w:rPr>
            <w:rFonts w:ascii="Cambria Math" w:hAnsi="Cambria Math"/>
          </w:rPr>
          <m:t>3</m:t>
        </m:r>
      </m:oMath>
      <w:r>
        <w:t xml:space="preserve"> años se utiliza el máximo de las volatilidades de las ventanas </w:t>
      </w:r>
      <m:oMath>
        <m:r>
          <w:rPr>
            <w:rFonts w:ascii="Cambria Math" w:hAnsi="Cambria Math"/>
          </w:rPr>
          <m:t>3</m:t>
        </m:r>
      </m:oMath>
      <w:r>
        <w:t xml:space="preserve"> y </w:t>
      </w:r>
      <m:oMath>
        <m:r>
          <w:rPr>
            <w:rFonts w:ascii="Cambria Math" w:hAnsi="Cambria Math"/>
          </w:rPr>
          <m:t>7</m:t>
        </m:r>
      </m:oMath>
      <w:r>
        <w:t xml:space="preserve"> años.</w:t>
      </w:r>
    </w:p>
    <w:p w14:paraId="7CA2084F" w14:textId="77777777" w:rsidR="00263E0E" w:rsidRDefault="009D73A4">
      <w:pPr>
        <w:numPr>
          <w:ilvl w:val="0"/>
          <w:numId w:val="6"/>
        </w:numPr>
      </w:pPr>
      <w:r>
        <w:t xml:space="preserve">Para operaciones con vencimiento igual o superior a </w:t>
      </w:r>
      <m:oMath>
        <m:r>
          <w:rPr>
            <w:rFonts w:ascii="Cambria Math" w:hAnsi="Cambria Math"/>
          </w:rPr>
          <m:t>7</m:t>
        </m:r>
      </m:oMath>
      <w:r>
        <w:t xml:space="preserve"> años se utiliza la volatilidad de </w:t>
      </w:r>
      <m:oMath>
        <m:r>
          <w:rPr>
            <w:rFonts w:ascii="Cambria Math" w:hAnsi="Cambria Math"/>
          </w:rPr>
          <m:t>7</m:t>
        </m:r>
      </m:oMath>
      <w:r>
        <w:t xml:space="preserve"> años.</w:t>
      </w:r>
    </w:p>
    <w:p w14:paraId="6F25B9F4" w14:textId="77777777" w:rsidR="00263E0E" w:rsidRDefault="009D73A4">
      <w:pPr>
        <w:numPr>
          <w:ilvl w:val="0"/>
          <w:numId w:val="6"/>
        </w:numPr>
      </w:pPr>
      <w:r>
        <w:t xml:space="preserve">Para los vencimientos intermedios en los intervalos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</m:oMath>
      <w:r>
        <w:t xml:space="preserve"> 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7</m:t>
            </m:r>
          </m:e>
        </m:d>
      </m:oMath>
      <w:r>
        <w:t xml:space="preserve"> años s</w:t>
      </w:r>
      <w:r>
        <w:t>e utiliza interpolación lineal basada en los datos conocidos en sus respectivas fronteras.</w:t>
      </w:r>
    </w:p>
    <w:p w14:paraId="155BBE34" w14:textId="77777777" w:rsidR="00263E0E" w:rsidRDefault="009D73A4">
      <w:pPr>
        <w:pStyle w:val="FirstParagraph"/>
      </w:pPr>
      <w:r>
        <w:t>Formalmente:</w:t>
      </w:r>
    </w:p>
    <w:p w14:paraId="7B9C8E67" w14:textId="77777777" w:rsidR="00263E0E" w:rsidRDefault="009D73A4">
      <w:pPr>
        <w:pStyle w:val="Textoindependiente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σ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≥max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d>
            </m:e>
          </m:d>
        </m:oMath>
      </m:oMathPara>
    </w:p>
    <w:p w14:paraId="40100A7E" w14:textId="77777777" w:rsidR="00263E0E" w:rsidRDefault="009D73A4">
      <w:pPr>
        <w:pStyle w:val="FirstParagraph"/>
      </w:pPr>
      <w:r>
        <w:t xml:space="preserve">siendo </w:t>
      </w:r>
      <m:oMath>
        <m:r>
          <w:rPr>
            <w:rFonts w:ascii="Cambria Math" w:hAnsi="Cambria Math"/>
          </w:rPr>
          <m:t>s</m:t>
        </m:r>
      </m:oMath>
      <w:r>
        <w:t xml:space="preserve"> la estimación muestral mencionada anteriormente.</w:t>
      </w:r>
    </w:p>
    <w:p w14:paraId="426F4E07" w14:textId="77777777" w:rsidR="00263E0E" w:rsidRDefault="009D73A4">
      <w:pPr>
        <w:pStyle w:val="Textoindependiente"/>
      </w:pPr>
      <w:r>
        <w:t>Así, por ejemplo, supongamos que para el tipo de cambio EURUSD las estim</w:t>
      </w:r>
      <w:r>
        <w:t xml:space="preserve">aciones fuesen las siguientes para las ventanas de </w:t>
      </w:r>
      <m:oMath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</m:oMath>
      <w:r>
        <w:t xml:space="preserve"> y </w:t>
      </w:r>
      <m:oMath>
        <m:r>
          <w:rPr>
            <w:rFonts w:ascii="Cambria Math" w:hAnsi="Cambria Math"/>
          </w:rPr>
          <m:t>7</m:t>
        </m:r>
      </m:oMath>
      <w:r>
        <w:t xml:space="preserve"> años:</w:t>
      </w:r>
    </w:p>
    <w:p w14:paraId="43113C9B" w14:textId="77777777" w:rsidR="00263E0E" w:rsidRDefault="009D73A4">
      <w:pPr>
        <w:pStyle w:val="Textoindependiente"/>
      </w:pPr>
      <w:bookmarkStart w:id="14" w:name="eq-VolEstimates"/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9.66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%</m:t>
                    </m:r>
                  </m:e>
                  <m:e/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10.39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%</m:t>
                    </m:r>
                  </m:e>
                  <m:e/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8.78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%</m:t>
                    </m:r>
                  </m:e>
                  <m:e/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/>
                  <m:e/>
                  <m:e/>
                </m:mr>
              </m:m>
            </m:e>
          </m:d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</m:oMath>
      </m:oMathPara>
      <w:bookmarkEnd w:id="14"/>
    </w:p>
    <w:p w14:paraId="074EECE4" w14:textId="77777777" w:rsidR="00263E0E" w:rsidRDefault="009D73A4">
      <w:pPr>
        <w:pStyle w:val="FirstParagraph"/>
      </w:pPr>
      <w:r>
        <w:t>Entonces,</w:t>
      </w:r>
    </w:p>
    <w:bookmarkStart w:id="15" w:name="eq-FuncVol"/>
    <w:p w14:paraId="79E28D7D" w14:textId="77777777" w:rsidR="00263E0E" w:rsidRDefault="009D73A4">
      <w:pPr>
        <w:pStyle w:val="Textoindependiente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σ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10.39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%</m:t>
                    </m:r>
                  </m:e>
                  <m:e/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&lt;=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10.39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%+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8.78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10.39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%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 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d>
                  </m:e>
                  <m:e/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8.78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%</m:t>
                    </m:r>
                  </m:e>
                  <m:e/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&gt;=</m:t>
                    </m:r>
                    <m:r>
                      <w:rPr>
                        <w:rFonts w:ascii="Cambria Math" w:hAnsi="Cambria Math"/>
                      </w:rPr>
                      <m:t>7 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  <m:mr>
                  <m:e/>
                  <m:e/>
                  <m:e/>
                </m:mr>
              </m:m>
            </m:e>
          </m:d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  <w:bookmarkEnd w:id="15"/>
    </w:p>
    <w:p w14:paraId="035AEA20" w14:textId="77777777" w:rsidR="00263E0E" w:rsidRDefault="009D73A4">
      <w:pPr>
        <w:pStyle w:val="FirstParagraph"/>
      </w:pPr>
      <w:r>
        <w:t xml:space="preserve">Dado que esta de volatilidades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se </w:t>
      </w:r>
      <w:r>
        <w:rPr>
          <w:i/>
          <w:iCs/>
        </w:rPr>
        <w:t>interpola linealmente</w:t>
      </w:r>
      <w:r>
        <w:t xml:space="preserve"> para los tiempos intermedios esta expresión es decreciente:</w:t>
      </w:r>
    </w:p>
    <w:p w14:paraId="51D48EE3" w14:textId="77777777" w:rsidR="00263E0E" w:rsidRDefault="009D73A4">
      <w:pPr>
        <w:pStyle w:val="Textoindependiente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σ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&lt;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σ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  </m:t>
          </m:r>
          <m:r>
            <m:rPr>
              <m:nor/>
            </m:rPr>
            <m:t>con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nor/>
            </m:rPr>
            <m:t>para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,...,</m:t>
          </m:r>
          <m:r>
            <w:rPr>
              <w:rFonts w:ascii="Cambria Math" w:hAnsi="Cambria Math"/>
            </w:rPr>
            <m:t>N</m:t>
          </m:r>
        </m:oMath>
      </m:oMathPara>
    </w:p>
    <w:p w14:paraId="627A7C52" w14:textId="77777777" w:rsidR="00263E0E" w:rsidRDefault="009D73A4">
      <w:pPr>
        <w:pStyle w:val="Ttulo4"/>
      </w:pPr>
      <w:bookmarkStart w:id="16" w:name="curva-de-varianza"/>
      <w:bookmarkEnd w:id="13"/>
      <w:r>
        <w:t>Curva de Varianza</w:t>
      </w:r>
    </w:p>
    <w:p w14:paraId="1000382C" w14:textId="77777777" w:rsidR="00263E0E" w:rsidRDefault="009D73A4">
      <w:pPr>
        <w:pStyle w:val="FirstParagraph"/>
      </w:pPr>
      <w:r>
        <w:t>Dado que es una varianza integral, debe ser creciente con el tiempo, esto es:</w:t>
      </w:r>
    </w:p>
    <w:p w14:paraId="7377B66A" w14:textId="77777777" w:rsidR="00263E0E" w:rsidRDefault="009D73A4">
      <w:pPr>
        <w:pStyle w:val="Textoindependiente"/>
      </w:pPr>
      <w:bookmarkStart w:id="17" w:name="eq-FuncVar"/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  </m:t>
          </m:r>
          <m:r>
            <m:rPr>
              <m:nor/>
            </m:rPr>
            <m:t>con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nor/>
            </m:rPr>
            <m:t>para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,...,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</m:d>
        </m:oMath>
      </m:oMathPara>
      <w:bookmarkEnd w:id="17"/>
    </w:p>
    <w:p w14:paraId="529DF6D2" w14:textId="77777777" w:rsidR="00263E0E" w:rsidRDefault="009D73A4">
      <w:pPr>
        <w:pStyle w:val="FirstParagraph"/>
      </w:pPr>
      <w:r>
        <w:t xml:space="preserve">Ello impone restricciones fundamentales sobre como debe ser el decrecimiento de la función de volatilidad estimada a partir de datos reales,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, dado que los cambios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ΔV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rad>
      </m:oMath>
      <w:r>
        <w:t xml:space="preserve"> en el mallado de la discretización (</w:t>
      </w:r>
      <w:hyperlink w:anchor="eq-FXHW_recursion">
        <w:r>
          <w:rPr>
            <w:rStyle w:val="Hipervnculo"/>
          </w:rPr>
          <w:t>Equation 7</w:t>
        </w:r>
      </w:hyperlink>
      <w:r>
        <w:t>) deben que ser reales.</w:t>
      </w:r>
    </w:p>
    <w:p w14:paraId="1112A8F0" w14:textId="77777777" w:rsidR="00263E0E" w:rsidRDefault="009D73A4">
      <w:pPr>
        <w:pStyle w:val="Textoindependiente"/>
      </w:pPr>
      <w:r>
        <w:t xml:space="preserve">Se puede demostrar que, dado que la función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es lineal a trozos, que para que se satisfaga (</w:t>
      </w:r>
      <w:hyperlink w:anchor="eq-FuncVar">
        <w:r>
          <w:rPr>
            <w:rStyle w:val="Hipervnculo"/>
          </w:rPr>
          <w:t>Equation 11</w:t>
        </w:r>
      </w:hyperlink>
      <w:r>
        <w:t>) se debe verificar que</w:t>
      </w:r>
    </w:p>
    <w:bookmarkStart w:id="18" w:name="eq-DiffussionRestriction"/>
    <w:p w14:paraId="13E7C014" w14:textId="77777777" w:rsidR="00263E0E" w:rsidRDefault="009D73A4">
      <w:pPr>
        <w:pStyle w:val="Textoindependiente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</m:oMath>
      </m:oMathPara>
      <w:bookmarkEnd w:id="18"/>
    </w:p>
    <w:p w14:paraId="3CC07E48" w14:textId="77777777" w:rsidR="00263E0E" w:rsidRDefault="009D73A4">
      <w:pPr>
        <w:numPr>
          <w:ilvl w:val="0"/>
          <w:numId w:val="7"/>
        </w:numPr>
      </w:pPr>
      <w:hyperlink w:anchor="eq-DiffussionRestriction">
        <w:r>
          <w:rPr>
            <w:rStyle w:val="Hipervnculo"/>
          </w:rPr>
          <w:t>Equation 12</w:t>
        </w:r>
      </w:hyperlink>
      <w:r>
        <w:t xml:space="preserve"> se verifica automáticamente en los tramos en los que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es constante.</w:t>
      </w:r>
    </w:p>
    <w:p w14:paraId="3FB960C8" w14:textId="77777777" w:rsidR="00263E0E" w:rsidRDefault="009D73A4">
      <w:pPr>
        <w:numPr>
          <w:ilvl w:val="0"/>
          <w:numId w:val="7"/>
        </w:numPr>
      </w:pPr>
      <w:r>
        <w:t xml:space="preserve">En particular, para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  <w:r>
        <w:t>, se tiene</w:t>
      </w:r>
    </w:p>
    <w:bookmarkStart w:id="19" w:name="eq-DiffussionRestriction2_3"/>
    <w:p w14:paraId="45C29D37" w14:textId="77777777" w:rsidR="00263E0E" w:rsidRDefault="009D73A4">
      <w:pPr>
        <w:pStyle w:val="Textoindependiente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</m:d>
        </m:oMath>
      </m:oMathPara>
      <w:bookmarkEnd w:id="19"/>
    </w:p>
    <w:p w14:paraId="56162889" w14:textId="77777777" w:rsidR="00263E0E" w:rsidRDefault="009D73A4">
      <w:pPr>
        <w:numPr>
          <w:ilvl w:val="0"/>
          <w:numId w:val="7"/>
        </w:numPr>
      </w:pPr>
      <w:r>
        <w:t xml:space="preserve">y, para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7</m:t>
        </m:r>
      </m:oMath>
      <w:r>
        <w:t>,</w:t>
      </w:r>
    </w:p>
    <w:bookmarkStart w:id="20" w:name="eq-DiffussionRestriction3_7"/>
    <w:p w14:paraId="2B1DFCA4" w14:textId="77777777" w:rsidR="00263E0E" w:rsidRDefault="009D73A4">
      <w:pPr>
        <w:pStyle w:val="Textoindependiente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14</m:t>
              </m:r>
            </m:e>
          </m:d>
        </m:oMath>
      </m:oMathPara>
      <w:bookmarkEnd w:id="20"/>
    </w:p>
    <w:p w14:paraId="3871F67F" w14:textId="77777777" w:rsidR="00263E0E" w:rsidRDefault="009D73A4">
      <w:pPr>
        <w:pStyle w:val="FirstParagraph"/>
      </w:pPr>
      <w:r>
        <w:t>Si cualquiera de las restricciones (</w:t>
      </w:r>
      <w:hyperlink w:anchor="eq-DiffussionRestriction2_3">
        <w:r>
          <w:rPr>
            <w:rStyle w:val="Hipervnculo"/>
          </w:rPr>
          <w:t>Equation 13</w:t>
        </w:r>
      </w:hyperlink>
      <w:r>
        <w:t>) o (</w:t>
      </w:r>
      <w:hyperlink w:anchor="eq-DiffussionRestriction3_7">
        <w:r>
          <w:rPr>
            <w:rStyle w:val="Hipervnculo"/>
          </w:rPr>
          <w:t>Equation 14</w:t>
        </w:r>
      </w:hyperlink>
      <w:r>
        <w:t xml:space="preserve">) no se verifican, se modifica </w:t>
      </w:r>
      <w:r>
        <w:rPr>
          <w:i/>
          <w:iCs/>
        </w:rPr>
        <w:t>ad-hoc</w:t>
      </w:r>
      <w:r>
        <w:t xml:space="preserve"> el valor de la curva estimada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sigu</w:t>
      </w:r>
      <w:r>
        <w:t xml:space="preserve">iendo el siguiente </w:t>
      </w:r>
      <w:r>
        <w:rPr>
          <w:b/>
          <w:bCs/>
        </w:rPr>
        <w:t>procedimiento</w:t>
      </w:r>
      <w:r>
        <w:t>:</w:t>
      </w:r>
    </w:p>
    <w:p w14:paraId="070A3497" w14:textId="77777777" w:rsidR="00263E0E" w:rsidRDefault="009D73A4">
      <w:pPr>
        <w:numPr>
          <w:ilvl w:val="0"/>
          <w:numId w:val="8"/>
        </w:numPr>
      </w:pPr>
      <w:r>
        <w:lastRenderedPageBreak/>
        <w:t xml:space="preserve">Si no se cumple 2., se modifica el valor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>
        <w:t xml:space="preserve"> para que sea el </w:t>
      </w:r>
      <m:oMath>
        <m:r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del vencimiento en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2D903F27" w14:textId="77777777" w:rsidR="00263E0E" w:rsidRDefault="009D73A4">
      <w:pPr>
        <w:numPr>
          <w:ilvl w:val="0"/>
          <w:numId w:val="8"/>
        </w:numPr>
      </w:pPr>
      <w:r>
        <w:t xml:space="preserve">Si no se cumple 3., se modifica el valor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</m:t>
            </m:r>
          </m:e>
        </m:d>
      </m:oMath>
      <w:r>
        <w:t xml:space="preserve">, para que sea el </w:t>
      </w:r>
      <m:oMath>
        <m:r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del vencimiento en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11D37AC9" w14:textId="77777777" w:rsidR="00263E0E" w:rsidRDefault="009D73A4">
      <w:pPr>
        <w:pStyle w:val="FirstParagraph"/>
      </w:pPr>
      <w:r>
        <w:t xml:space="preserve">Con estas modificaciones </w:t>
      </w:r>
      <w:r>
        <w:rPr>
          <w:i/>
          <w:iCs/>
        </w:rPr>
        <w:t>ad-hoc</w:t>
      </w:r>
      <w:r>
        <w:t xml:space="preserve"> de la estructura temporal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se verifican automáticamente las restricciones 2. y 3. y los saltos en la varianza integrada son positivos, asegurando que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ΔV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rad>
      </m:oMath>
      <w:r>
        <w:t xml:space="preserve"> sea real y la recursión </w:t>
      </w:r>
      <w:r>
        <w:rPr>
          <w:b/>
          <w:bCs/>
        </w:rPr>
        <w:t>forward</w:t>
      </w:r>
      <w:r>
        <w:t xml:space="preserve"> para las simulaciones esté bien</w:t>
      </w:r>
      <w:r>
        <w:t xml:space="preserve"> definida.</w:t>
      </w:r>
    </w:p>
    <w:p w14:paraId="791A2CA9" w14:textId="77777777" w:rsidR="00263E0E" w:rsidRDefault="009D73A4">
      <w:pPr>
        <w:pStyle w:val="Ttulo4"/>
      </w:pPr>
      <w:bookmarkStart w:id="21" w:name="correlaciones"/>
      <w:bookmarkEnd w:id="16"/>
      <w:r>
        <w:t>Correlaciones</w:t>
      </w:r>
    </w:p>
    <w:p w14:paraId="7C303FB5" w14:textId="77777777" w:rsidR="00263E0E" w:rsidRDefault="009D73A4">
      <w:pPr>
        <w:pStyle w:val="FirstParagraph"/>
      </w:pPr>
      <w:r>
        <w:t>Los procesos de Wiener de las difusiones (</w:t>
      </w:r>
      <w:hyperlink w:anchor="eq-FX-HW_AA">
        <w:r>
          <w:rPr>
            <w:rStyle w:val="Hipervnculo"/>
          </w:rPr>
          <w:t>Equation 2</w:t>
        </w:r>
      </w:hyperlink>
      <w:r>
        <w:t xml:space="preserve">) están correlados. Formalmente, definido el vector </w:t>
      </w:r>
      <m:oMath>
        <m:r>
          <m:rPr>
            <m:sty m:val="b"/>
          </m:rP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  <m:sup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  <m:sup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sup>
            </m:sSubSup>
          </m:e>
        </m:d>
      </m:oMath>
      <w:r>
        <w:t>, la matriz completa</w:t>
      </w:r>
    </w:p>
    <w:p w14:paraId="62090DBE" w14:textId="77777777" w:rsidR="00263E0E" w:rsidRDefault="009D73A4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b"/>
            </m:rP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/>
                  <m:e/>
                  <m:e/>
                </m:mr>
                <m:mr>
                  <m:e/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e>
                  <m:e/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 </m:t>
          </m:r>
          <m:r>
            <w:rPr>
              <w:rFonts w:ascii="Cambria Math" w:hAnsi="Cambria Math"/>
            </w:rPr>
            <m:t>dt</m:t>
          </m:r>
        </m:oMath>
      </m:oMathPara>
    </w:p>
    <w:p w14:paraId="10613022" w14:textId="77777777" w:rsidR="00263E0E" w:rsidRDefault="009D73A4">
      <w:pPr>
        <w:pStyle w:val="FirstParagraph"/>
      </w:pPr>
      <w:r>
        <w:t>debe se</w:t>
      </w:r>
      <w:r>
        <w:t>r estimada.</w:t>
      </w:r>
    </w:p>
    <w:p w14:paraId="7B80305C" w14:textId="77777777" w:rsidR="00263E0E" w:rsidRDefault="009D73A4">
      <w:pPr>
        <w:pStyle w:val="Textoindependiente"/>
      </w:pPr>
      <w:r>
        <w:t xml:space="preserve">Además, bajo la medida riesgo neutral doméstica aparece un término extra en la deriva para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en el que es explícita una de las correlaciones </w:t>
      </w:r>
      <m:oMath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.</w:t>
      </w:r>
    </w:p>
    <w:p w14:paraId="7FCC3979" w14:textId="77777777" w:rsidR="00263E0E" w:rsidRDefault="009D73A4">
      <w:pPr>
        <w:pStyle w:val="Textoindependiente"/>
      </w:pPr>
      <w:r>
        <w:t>La matriz de correlaciones se estiman con una muestra de 7 años de cotizacio</w:t>
      </w:r>
      <w:r>
        <w:t xml:space="preserve">nes semanales de tipos swaps a 20y de ambas monedas y del tipo spot FX. </w:t>
      </w:r>
    </w:p>
    <w:bookmarkEnd w:id="21"/>
    <w:bookmarkEnd w:id="12"/>
    <w:bookmarkEnd w:id="11"/>
    <w:bookmarkEnd w:id="1"/>
    <w:sectPr w:rsidR="00263E0E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F6FE3" w14:textId="77777777" w:rsidR="00000000" w:rsidRDefault="009D73A4">
      <w:pPr>
        <w:spacing w:after="0"/>
      </w:pPr>
      <w:r>
        <w:separator/>
      </w:r>
    </w:p>
  </w:endnote>
  <w:endnote w:type="continuationSeparator" w:id="0">
    <w:p w14:paraId="78D4F0D1" w14:textId="77777777" w:rsidR="00000000" w:rsidRDefault="009D73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5C121" w14:textId="77777777" w:rsidR="00263E0E" w:rsidRDefault="009D73A4">
      <w:r>
        <w:separator/>
      </w:r>
    </w:p>
  </w:footnote>
  <w:footnote w:type="continuationSeparator" w:id="0">
    <w:p w14:paraId="48C00515" w14:textId="77777777" w:rsidR="00263E0E" w:rsidRDefault="009D73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08AE2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2001C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73AD69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12974407">
    <w:abstractNumId w:val="0"/>
  </w:num>
  <w:num w:numId="2" w16cid:durableId="718624211">
    <w:abstractNumId w:val="1"/>
  </w:num>
  <w:num w:numId="3" w16cid:durableId="1990090956">
    <w:abstractNumId w:val="1"/>
  </w:num>
  <w:num w:numId="4" w16cid:durableId="301078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91186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28936891">
    <w:abstractNumId w:val="1"/>
  </w:num>
  <w:num w:numId="7" w16cid:durableId="416093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58114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E0E"/>
    <w:rsid w:val="00263E0E"/>
    <w:rsid w:val="009D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0E1B1"/>
  <w15:docId w15:val="{769806FE-2651-4AA5-943C-13E878308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1609</Words>
  <Characters>8853</Characters>
  <Application>Microsoft Office Word</Application>
  <DocSecurity>4</DocSecurity>
  <Lines>73</Lines>
  <Paragraphs>20</Paragraphs>
  <ScaleCrop>false</ScaleCrop>
  <Company>Grupo Caixabank</Company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Difusión para Instrumentos de Tipo de Cambio (FX)</dc:title>
  <dc:creator>LLUIS NAVARRO GIRBES</dc:creator>
  <cp:keywords/>
  <cp:lastModifiedBy>LLUIS NAVARRO GIRBES</cp:lastModifiedBy>
  <cp:revision>2</cp:revision>
  <dcterms:created xsi:type="dcterms:W3CDTF">2024-05-08T08:00:00Z</dcterms:created>
  <dcterms:modified xsi:type="dcterms:W3CDTF">2024-05-08T08:00:00Z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MSIP_Label_c2c11c9e-624c-4a75-9f78-0989052ff6ea_Enabled">
    <vt:lpwstr>true</vt:lpwstr>
  </property>
  <property fmtid="{D5CDD505-2E9C-101B-9397-08002B2CF9AE}" pid="9" name="MSIP_Label_c2c11c9e-624c-4a75-9f78-0989052ff6ea_SetDate">
    <vt:lpwstr>2024-05-08T07:59:20Z</vt:lpwstr>
  </property>
  <property fmtid="{D5CDD505-2E9C-101B-9397-08002B2CF9AE}" pid="10" name="MSIP_Label_c2c11c9e-624c-4a75-9f78-0989052ff6ea_Method">
    <vt:lpwstr>Standard</vt:lpwstr>
  </property>
  <property fmtid="{D5CDD505-2E9C-101B-9397-08002B2CF9AE}" pid="11" name="MSIP_Label_c2c11c9e-624c-4a75-9f78-0989052ff6ea_Name">
    <vt:lpwstr>c2c11c9e-624c-4a75-9f78-0989052ff6ea</vt:lpwstr>
  </property>
  <property fmtid="{D5CDD505-2E9C-101B-9397-08002B2CF9AE}" pid="12" name="MSIP_Label_c2c11c9e-624c-4a75-9f78-0989052ff6ea_SiteId">
    <vt:lpwstr>5df31d35-3ba9-481e-a3c8-ff9be3ee783b</vt:lpwstr>
  </property>
  <property fmtid="{D5CDD505-2E9C-101B-9397-08002B2CF9AE}" pid="13" name="MSIP_Label_c2c11c9e-624c-4a75-9f78-0989052ff6ea_ActionId">
    <vt:lpwstr>dc2693d2-1fbf-4f8f-8a49-4286b9cbecee</vt:lpwstr>
  </property>
  <property fmtid="{D5CDD505-2E9C-101B-9397-08002B2CF9AE}" pid="14" name="MSIP_Label_c2c11c9e-624c-4a75-9f78-0989052ff6ea_ContentBits">
    <vt:lpwstr>0</vt:lpwstr>
  </property>
</Properties>
</file>