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BA6C8" w14:textId="77777777" w:rsidR="00690B16" w:rsidRDefault="00986D3D">
      <w:pPr>
        <w:pStyle w:val="Ttulo"/>
      </w:pPr>
      <w:r>
        <w:t>Modelos de Difusión para Instrumentos de Tipo de Interés (IR)</w:t>
      </w:r>
    </w:p>
    <w:p w14:paraId="44BA079E" w14:textId="77777777" w:rsidR="00690B16" w:rsidRDefault="00986D3D">
      <w:pPr>
        <w:pStyle w:val="Ttulo1"/>
      </w:pPr>
      <w:bookmarkStart w:id="0" w:name="introducción"/>
      <w:r>
        <w:t>Introducción</w:t>
      </w:r>
    </w:p>
    <w:p w14:paraId="2FC324BF" w14:textId="77777777" w:rsidR="00690B16" w:rsidRDefault="00986D3D">
      <w:pPr>
        <w:pStyle w:val="FirstParagraph"/>
      </w:pPr>
      <w:r>
        <w:t>Los instrumentos de IR pueden depender de hasta tres factores de riesgo dado que, para productos de tipos de interés denominados en moneda distinta de la base, se hace necesario la evolución del tipo de cambio y la de los tipo de interés en cada moneda.</w:t>
      </w:r>
    </w:p>
    <w:p w14:paraId="6C657FE3" w14:textId="77777777" w:rsidR="00690B16" w:rsidRDefault="00986D3D">
      <w:pPr>
        <w:pStyle w:val="Textoindependiente"/>
      </w:pPr>
      <w:r>
        <w:t>El</w:t>
      </w:r>
      <w:r>
        <w:t xml:space="preserve"> valor de los principales instrumentos de tipo de interés comercializados es más sensible a movimientos paralelos que a cambios de pendiente o curvatura de la curva. De esta manera, se considera que la elección de un modelo unifactorial, que contemple los </w:t>
      </w:r>
      <w:r>
        <w:t>movimientos paralelos de la curva, permite recoger adecuadamente la fuente más importante de variación del valor actual de la operación.</w:t>
      </w:r>
    </w:p>
    <w:p w14:paraId="0CE812C4" w14:textId="77777777" w:rsidR="00690B16" w:rsidRDefault="00986D3D">
      <w:pPr>
        <w:pStyle w:val="Textoindependiente"/>
      </w:pPr>
      <w:r>
        <w:t>Dado su menor impacto en el valor de los diferentes productos de tipos de interés, la volatilidad utilizada para valora</w:t>
      </w:r>
      <w:r>
        <w:t>r los productos con riesgo de volatilidad se asume no estocástica.</w:t>
      </w:r>
    </w:p>
    <w:p w14:paraId="3E24A0E0" w14:textId="77777777" w:rsidR="00690B16" w:rsidRDefault="00986D3D">
      <w:pPr>
        <w:pStyle w:val="Textoindependiente"/>
      </w:pPr>
      <w:r>
        <w:t>Finalmente, para el cálculo de exposición y el CVA de instrumentos de tipo de interés, también se considera no estocástico el basis entre los diferentes tenors, por lo que no es un factor d</w:t>
      </w:r>
      <w:r>
        <w:t>e riesgo adicional, sino que se toma su valor inicial para definir la evolución de los tipos de referencia necesarios en la proyección de flujos futuros.</w:t>
      </w:r>
    </w:p>
    <w:p w14:paraId="1E3C89A5" w14:textId="77777777" w:rsidR="00690B16" w:rsidRDefault="00986D3D">
      <w:pPr>
        <w:pStyle w:val="Ttulo1"/>
      </w:pPr>
      <w:bookmarkStart w:id="1" w:name="Xd6d81e908416ebfc94030bc937390b288426677"/>
      <w:bookmarkEnd w:id="0"/>
      <w:r>
        <w:t>Modelo de Difusión para Exposiciones y CVA</w:t>
      </w:r>
    </w:p>
    <w:p w14:paraId="1379315F" w14:textId="77777777" w:rsidR="00690B16" w:rsidRDefault="00986D3D">
      <w:pPr>
        <w:pStyle w:val="Ttulo2"/>
      </w:pPr>
      <w:bookmarkStart w:id="2" w:name="productos-denominados-en-divisa"/>
      <w:r>
        <w:t>Productos denominados en Divisa €</w:t>
      </w:r>
    </w:p>
    <w:p w14:paraId="2B67C65B" w14:textId="77777777" w:rsidR="00690B16" w:rsidRDefault="00986D3D">
      <w:pPr>
        <w:pStyle w:val="FirstParagraph"/>
      </w:pPr>
      <w:r>
        <w:t>Adaptiv Analytics (AA, po</w:t>
      </w:r>
      <w:r>
        <w:t>r brevedad) modela el tipo de interés IR, asumiendo un modelo de Hull-White unifactorial con parámetros constantes</w:t>
      </w:r>
    </w:p>
    <w:p w14:paraId="4731576B" w14:textId="77777777" w:rsidR="00690B16" w:rsidRDefault="00986D3D">
      <w:pPr>
        <w:pStyle w:val="Textoindependiente"/>
      </w:pPr>
      <w:r>
        <w:t>Explícitamente, el tipo IR modelado viene determinado por la dinámica:</w:t>
      </w:r>
    </w:p>
    <w:p w14:paraId="4AF36CDA" w14:textId="77777777" w:rsidR="00690B16" w:rsidRDefault="00986D3D">
      <w:pPr>
        <w:pStyle w:val="Textoindependiente"/>
      </w:pPr>
      <w:bookmarkStart w:id="3" w:name="eq-HullWhite1Factor"/>
      <m:oMathPara>
        <m:oMathParaPr>
          <m:jc m:val="center"/>
        </m:oMathParaPr>
        <m:oMath>
          <m:r>
            <w:rPr>
              <w:rFonts w:ascii="Cambria Math" w:hAnsi="Cambria Math"/>
            </w:rPr>
            <m:t>dr</m:t>
          </m:r>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ar</m:t>
              </m:r>
              <m:d>
                <m:dPr>
                  <m:ctrlPr>
                    <w:rPr>
                      <w:rFonts w:ascii="Cambria Math" w:hAnsi="Cambria Math"/>
                    </w:rPr>
                  </m:ctrlPr>
                </m:dPr>
                <m:e>
                  <m:r>
                    <w:rPr>
                      <w:rFonts w:ascii="Cambria Math" w:hAnsi="Cambria Math"/>
                    </w:rPr>
                    <m:t>t</m:t>
                  </m:r>
                </m:e>
              </m:d>
            </m:e>
          </m:d>
          <m:r>
            <w:rPr>
              <w:rFonts w:ascii="Cambria Math" w:hAnsi="Cambria Math"/>
            </w:rPr>
            <m:t>dt</m:t>
          </m:r>
          <m:r>
            <m:rPr>
              <m:sty m:val="p"/>
            </m:rPr>
            <w:rPr>
              <w:rFonts w:ascii="Cambria Math" w:hAnsi="Cambria Math"/>
            </w:rPr>
            <m:t>+</m:t>
          </m:r>
          <m:r>
            <w:rPr>
              <w:rFonts w:ascii="Cambria Math" w:hAnsi="Cambria Math"/>
            </w:rPr>
            <m:t>σd</m:t>
          </m:r>
          <m:sSup>
            <m:sSupPr>
              <m:ctrlPr>
                <w:rPr>
                  <w:rFonts w:ascii="Cambria Math" w:hAnsi="Cambria Math"/>
                </w:rPr>
              </m:ctrlPr>
            </m:sSupPr>
            <m:e>
              <m:r>
                <w:rPr>
                  <w:rFonts w:ascii="Cambria Math" w:hAnsi="Cambria Math"/>
                </w:rPr>
                <m:t>W</m:t>
              </m:r>
            </m:e>
            <m:sup>
              <m:r>
                <m:rPr>
                  <m:scr m:val="double-struck"/>
                  <m:sty m:val="p"/>
                </m:rPr>
                <w:rPr>
                  <w:rFonts w:ascii="Cambria Math" w:hAnsi="Cambria Math"/>
                </w:rPr>
                <m:t>Q</m:t>
              </m:r>
            </m:sup>
          </m:sSup>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1</m:t>
              </m:r>
            </m:e>
          </m:d>
        </m:oMath>
      </m:oMathPara>
      <w:bookmarkEnd w:id="3"/>
    </w:p>
    <w:p w14:paraId="77A3BDE2" w14:textId="77777777" w:rsidR="00690B16" w:rsidRDefault="00986D3D">
      <w:pPr>
        <w:pStyle w:val="FirstParagraph"/>
      </w:pPr>
      <w:r>
        <w:t>Como es bien conocido, sus caracte</w:t>
      </w:r>
      <w:r>
        <w:t>rísticas fundamentales son:</w:t>
      </w:r>
    </w:p>
    <w:p w14:paraId="5FB88D5F" w14:textId="77777777" w:rsidR="00690B16" w:rsidRDefault="00986D3D">
      <w:pPr>
        <w:pStyle w:val="Compact"/>
        <w:numPr>
          <w:ilvl w:val="0"/>
          <w:numId w:val="2"/>
        </w:numPr>
      </w:pPr>
      <w:r>
        <w:t xml:space="preserve">La funcion </w:t>
      </w:r>
      <m:oMath>
        <m:r>
          <w:rPr>
            <w:rFonts w:ascii="Cambria Math" w:hAnsi="Cambria Math"/>
          </w:rPr>
          <m:t>θ</m:t>
        </m:r>
        <m:d>
          <m:dPr>
            <m:ctrlPr>
              <w:rPr>
                <w:rFonts w:ascii="Cambria Math" w:hAnsi="Cambria Math"/>
              </w:rPr>
            </m:ctrlPr>
          </m:dPr>
          <m:e>
            <m:r>
              <w:rPr>
                <w:rFonts w:ascii="Cambria Math" w:hAnsi="Cambria Math"/>
              </w:rPr>
              <m:t>t</m:t>
            </m:r>
          </m:e>
        </m:d>
      </m:oMath>
      <w:r>
        <w:t xml:space="preserve"> ajusta la estructura temporal inicial de tipos de interés.</w:t>
      </w:r>
    </w:p>
    <w:p w14:paraId="46146288" w14:textId="77777777" w:rsidR="00690B16" w:rsidRDefault="00986D3D">
      <w:pPr>
        <w:pStyle w:val="Compact"/>
        <w:numPr>
          <w:ilvl w:val="0"/>
          <w:numId w:val="2"/>
        </w:numPr>
      </w:pPr>
      <w:r>
        <w:t xml:space="preserve">Exhibe reversión a la media, vía el parámetro </w:t>
      </w:r>
      <m:oMath>
        <m:r>
          <w:rPr>
            <w:rFonts w:ascii="Cambria Math" w:hAnsi="Cambria Math"/>
          </w:rPr>
          <m:t>a</m:t>
        </m:r>
      </m:oMath>
      <w:r>
        <w:t>.</w:t>
      </w:r>
    </w:p>
    <w:p w14:paraId="1714E043" w14:textId="77777777" w:rsidR="00690B16" w:rsidRDefault="00986D3D">
      <w:pPr>
        <w:pStyle w:val="Compact"/>
        <w:numPr>
          <w:ilvl w:val="0"/>
          <w:numId w:val="2"/>
        </w:numPr>
      </w:pPr>
      <w:r>
        <w:t xml:space="preserve">La incertidumbre futura se modela mediante el proceso de Wiener </w:t>
      </w:r>
      <m:oMath>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oMath>
      <w:r>
        <w:t xml:space="preserve"> bajo la medida riesgo neutr</w:t>
      </w:r>
      <w:r>
        <w:t xml:space="preserve">al </w:t>
      </w:r>
      <m:oMath>
        <m:r>
          <m:rPr>
            <m:scr m:val="double-struck"/>
            <m:sty m:val="p"/>
          </m:rPr>
          <w:rPr>
            <w:rFonts w:ascii="Cambria Math" w:hAnsi="Cambria Math"/>
          </w:rPr>
          <m:t>Q</m:t>
        </m:r>
      </m:oMath>
      <w:r>
        <w:t>.</w:t>
      </w:r>
    </w:p>
    <w:p w14:paraId="16EC308D" w14:textId="77777777" w:rsidR="00690B16" w:rsidRDefault="00986D3D">
      <w:pPr>
        <w:pStyle w:val="Compact"/>
        <w:numPr>
          <w:ilvl w:val="0"/>
          <w:numId w:val="2"/>
        </w:numPr>
      </w:pPr>
      <w:r>
        <w:t xml:space="preserve">En consecuencia, los tipos de interés siguen una distribución normal, cuya desviación estándar está relacionada con ambos parámetros </w:t>
      </w:r>
      <m:oMath>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 </m:t>
            </m:r>
            <m:r>
              <w:rPr>
                <w:rFonts w:ascii="Cambria Math" w:hAnsi="Cambria Math"/>
              </w:rPr>
              <m:t>a</m:t>
            </m:r>
          </m:e>
        </m:d>
      </m:oMath>
      <w:r>
        <w:t>.</w:t>
      </w:r>
    </w:p>
    <w:p w14:paraId="7E0F4C43" w14:textId="77777777" w:rsidR="00690B16" w:rsidRDefault="00986D3D">
      <w:pPr>
        <w:pStyle w:val="FirstParagraph"/>
      </w:pPr>
      <w:r>
        <w:lastRenderedPageBreak/>
        <w:t xml:space="preserve">Así, los primeros momentos condicionales de la distribución de </w:t>
      </w:r>
      <m:oMath>
        <m:r>
          <w:rPr>
            <w:rFonts w:ascii="Cambria Math" w:hAnsi="Cambria Math"/>
          </w:rPr>
          <m:t>r</m:t>
        </m:r>
        <m:d>
          <m:dPr>
            <m:ctrlPr>
              <w:rPr>
                <w:rFonts w:ascii="Cambria Math" w:hAnsi="Cambria Math"/>
              </w:rPr>
            </m:ctrlPr>
          </m:dPr>
          <m:e>
            <m:r>
              <w:rPr>
                <w:rFonts w:ascii="Cambria Math" w:hAnsi="Cambria Math"/>
              </w:rPr>
              <m:t>t</m:t>
            </m:r>
          </m:e>
        </m:d>
      </m:oMath>
      <w:r>
        <w:t xml:space="preserve"> cumplen:</w:t>
      </w:r>
    </w:p>
    <w:bookmarkStart w:id="4" w:name="eq-HullWhiteConditionalMoments"/>
    <w:p w14:paraId="2BEDABA4" w14:textId="77777777" w:rsidR="00690B16" w:rsidRDefault="00986D3D">
      <w:pPr>
        <w:pStyle w:val="Textoindependiente"/>
      </w:pPr>
      <m:oMathPara>
        <m:oMathParaPr>
          <m:jc m:val="center"/>
        </m:oMathParaPr>
        <m:oMath>
          <m:m>
            <m:mPr>
              <m:plcHide m:val="1"/>
              <m:mcs>
                <m:mc>
                  <m:mcPr>
                    <m:count m:val="1"/>
                    <m:mcJc m:val="right"/>
                  </m:mcPr>
                </m:mc>
                <m:mc>
                  <m:mcPr>
                    <m:count m:val="1"/>
                    <m:mcJc m:val="center"/>
                  </m:mcPr>
                </m:mc>
                <m:mc>
                  <m:mcPr>
                    <m:count m:val="1"/>
                    <m:mcJc m:val="left"/>
                  </m:mcPr>
                </m:mc>
              </m:mcs>
              <m:ctrlPr>
                <w:rPr>
                  <w:rFonts w:ascii="Cambria Math" w:hAnsi="Cambria Math"/>
                </w:rPr>
              </m:ctrlPr>
            </m:mPr>
            <m:mr>
              <m:e>
                <m:sSup>
                  <m:sSupPr>
                    <m:ctrlPr>
                      <w:rPr>
                        <w:rFonts w:ascii="Cambria Math" w:hAnsi="Cambria Math"/>
                      </w:rPr>
                    </m:ctrlPr>
                  </m:sSupPr>
                  <m:e>
                    <m:r>
                      <m:rPr>
                        <m:scr m:val="double-struck"/>
                        <m:sty m:val="p"/>
                      </m:rPr>
                      <w:rPr>
                        <w:rFonts w:ascii="Cambria Math" w:hAnsi="Cambria Math"/>
                      </w:rPr>
                      <m:t>E</m:t>
                    </m:r>
                  </m:e>
                  <m:sup>
                    <m:r>
                      <m:rPr>
                        <m:scr m:val="double-struck"/>
                        <m:sty m:val="p"/>
                      </m:rPr>
                      <w:rPr>
                        <w:rFonts w:ascii="Cambria Math" w:hAnsi="Cambria Math"/>
                      </w:rPr>
                      <m:t>Q</m:t>
                    </m:r>
                  </m:sup>
                </m:sSup>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s</m:t>
                        </m:r>
                      </m:sub>
                    </m:sSub>
                  </m:e>
                </m:d>
              </m:e>
              <m:e>
                <m:r>
                  <m:rPr>
                    <m:sty m:val="p"/>
                  </m:rPr>
                  <w:rPr>
                    <w:rFonts w:ascii="Cambria Math" w:hAnsi="Cambria Math"/>
                  </w:rPr>
                  <m:t>=</m:t>
                </m:r>
              </m:e>
              <m:e>
                <m:r>
                  <w:rPr>
                    <w:rFonts w:ascii="Cambria Math" w:hAnsi="Cambria Math"/>
                  </w:rPr>
                  <m:t>r</m:t>
                </m:r>
                <m:d>
                  <m:dPr>
                    <m:ctrlPr>
                      <w:rPr>
                        <w:rFonts w:ascii="Cambria Math" w:hAnsi="Cambria Math"/>
                      </w:rPr>
                    </m:ctrlPr>
                  </m:dPr>
                  <m:e>
                    <m:r>
                      <w:rPr>
                        <w:rFonts w:ascii="Cambria Math" w:hAnsi="Cambria Math"/>
                      </w:rPr>
                      <m:t>s</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e>
                </m:d>
              </m:e>
            </m:mr>
            <m:mr>
              <m:e>
                <m:sSup>
                  <m:sSupPr>
                    <m:ctrlPr>
                      <w:rPr>
                        <w:rFonts w:ascii="Cambria Math" w:hAnsi="Cambria Math"/>
                      </w:rPr>
                    </m:ctrlPr>
                  </m:sSupPr>
                  <m:e>
                    <m:r>
                      <m:rPr>
                        <m:sty m:val="p"/>
                      </m:rPr>
                      <w:rPr>
                        <w:rFonts w:ascii="Cambria Math" w:hAnsi="Cambria Math"/>
                      </w:rPr>
                      <m:t>var</m:t>
                    </m:r>
                  </m:e>
                  <m:sup>
                    <m:r>
                      <m:rPr>
                        <m:scr m:val="double-struck"/>
                        <m:sty m:val="p"/>
                      </m:rPr>
                      <w:rPr>
                        <w:rFonts w:ascii="Cambria Math" w:hAnsi="Cambria Math"/>
                      </w:rPr>
                      <m:t>Q</m:t>
                    </m:r>
                  </m:sup>
                </m:sSup>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s</m:t>
                        </m:r>
                      </m:sub>
                    </m:sSub>
                  </m:e>
                </m:d>
              </m:e>
              <m:e>
                <m:r>
                  <m:rPr>
                    <m:sty m:val="p"/>
                  </m:rPr>
                  <w:rPr>
                    <w:rFonts w:ascii="Cambria Math" w:hAnsi="Cambria Math"/>
                  </w:rPr>
                  <m:t>=</m:t>
                </m:r>
              </m:e>
              <m:e>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e>
                    </m:d>
                  </m:e>
                </m:d>
              </m:e>
            </m:mr>
            <m:mr>
              <m:e/>
              <m:e/>
              <m:e/>
            </m:mr>
          </m:m>
          <m:r>
            <w:rPr>
              <w:rFonts w:ascii="Cambria Math" w:hAnsi="Cambria Math"/>
            </w:rPr>
            <m:t>  </m:t>
          </m:r>
          <m:d>
            <m:dPr>
              <m:ctrlPr>
                <w:rPr>
                  <w:rFonts w:ascii="Cambria Math" w:hAnsi="Cambria Math"/>
                </w:rPr>
              </m:ctrlPr>
            </m:dPr>
            <m:e>
              <m:r>
                <w:rPr>
                  <w:rFonts w:ascii="Cambria Math" w:hAnsi="Cambria Math"/>
                </w:rPr>
                <m:t>2</m:t>
              </m:r>
            </m:e>
          </m:d>
        </m:oMath>
      </m:oMathPara>
      <w:bookmarkEnd w:id="4"/>
    </w:p>
    <w:p w14:paraId="57DE6B73" w14:textId="77777777" w:rsidR="00690B16" w:rsidRDefault="00986D3D">
      <w:pPr>
        <w:pStyle w:val="FirstParagraph"/>
      </w:pPr>
      <w:r>
        <w:t>donde</w:t>
      </w:r>
    </w:p>
    <w:p w14:paraId="0ACCEF73" w14:textId="77777777" w:rsidR="00690B16" w:rsidRDefault="00986D3D">
      <w:pPr>
        <w:pStyle w:val="Textoindependiente"/>
      </w:pPr>
      <w:bookmarkStart w:id="5" w:name="eq-HullWhiteUnconditionalMean"/>
      <m:oMathPara>
        <m:oMathParaPr>
          <m:jc m:val="center"/>
        </m:oMathParaPr>
        <m:oMath>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a</m:t>
                  </m:r>
                </m:e>
                <m:sup>
                  <m:r>
                    <w:rPr>
                      <w:rFonts w:ascii="Cambria Math" w:hAnsi="Cambria Math"/>
                    </w:rPr>
                    <m:t>2</m:t>
                  </m:r>
                </m:sup>
              </m:sSup>
            </m:den>
          </m:f>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at</m:t>
                      </m:r>
                    </m:sup>
                  </m:sSup>
                </m:e>
              </m:d>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5"/>
    </w:p>
    <w:p w14:paraId="730ACBFE" w14:textId="77777777" w:rsidR="00690B16" w:rsidRDefault="00986D3D">
      <w:pPr>
        <w:pStyle w:val="Ttulo2"/>
      </w:pPr>
      <w:bookmarkStart w:id="6" w:name="X87e84ecc866c738715b30f487cd430d08867da8"/>
      <w:bookmarkEnd w:id="2"/>
      <w:r>
        <w:t xml:space="preserve">La Esperanza del Tipo de Interés Simulado bajo </w:t>
      </w:r>
      <m:oMath>
        <m:r>
          <m:rPr>
            <m:scr m:val="double-struck"/>
            <m:sty m:val="b"/>
          </m:rPr>
          <w:rPr>
            <w:rFonts w:ascii="Cambria Math" w:hAnsi="Cambria Math"/>
          </w:rPr>
          <m:t>Q</m:t>
        </m:r>
      </m:oMath>
    </w:p>
    <w:p w14:paraId="0040B87A" w14:textId="77777777" w:rsidR="00690B16" w:rsidRDefault="00986D3D">
      <w:pPr>
        <w:pStyle w:val="FirstParagraph"/>
      </w:pPr>
      <w:r>
        <w:t>Particularizando la primera de les expresiones en (</w:t>
      </w:r>
      <w:hyperlink w:anchor="eq-HullWhiteConditionalMoments">
        <w:r>
          <w:rPr>
            <w:rStyle w:val="Hipervnculo"/>
          </w:rPr>
          <w:t>Equation 2</w:t>
        </w:r>
      </w:hyperlink>
      <w:r>
        <w:t xml:space="preserve">) para </w:t>
      </w:r>
      <m:oMath>
        <m:r>
          <w:rPr>
            <w:rFonts w:ascii="Cambria Math" w:hAnsi="Cambria Math"/>
          </w:rPr>
          <m:t>s</m:t>
        </m:r>
        <m:r>
          <m:rPr>
            <m:sty m:val="p"/>
          </m:rPr>
          <w:rPr>
            <w:rFonts w:ascii="Cambria Math" w:hAnsi="Cambria Math"/>
          </w:rPr>
          <m:t>=</m:t>
        </m:r>
        <m:r>
          <w:rPr>
            <w:rFonts w:ascii="Cambria Math" w:hAnsi="Cambria Math"/>
          </w:rPr>
          <m:t>0</m:t>
        </m:r>
      </m:oMath>
      <w:r>
        <w:t>, se tiene</w:t>
      </w:r>
    </w:p>
    <w:bookmarkStart w:id="7" w:name="eq-FutureSpotRate"/>
    <w:p w14:paraId="4DF1D4B2" w14:textId="77777777" w:rsidR="00690B16" w:rsidRDefault="00986D3D">
      <w:pPr>
        <w:pStyle w:val="Textoindependiente"/>
      </w:pPr>
      <m:oMathPara>
        <m:oMathParaPr>
          <m:jc m:val="center"/>
        </m:oMathParaPr>
        <m:oMath>
          <m:sSup>
            <m:sSupPr>
              <m:ctrlPr>
                <w:rPr>
                  <w:rFonts w:ascii="Cambria Math" w:hAnsi="Cambria Math"/>
                </w:rPr>
              </m:ctrlPr>
            </m:sSupPr>
            <m:e>
              <m:r>
                <m:rPr>
                  <m:scr m:val="double-struck"/>
                  <m:sty m:val="p"/>
                </m:rPr>
                <w:rPr>
                  <w:rFonts w:ascii="Cambria Math" w:hAnsi="Cambria Math"/>
                </w:rPr>
                <m:t>E</m:t>
              </m:r>
            </m:e>
            <m:sup>
              <m:r>
                <m:rPr>
                  <m:scr m:val="double-struck"/>
                  <m:sty m:val="p"/>
                </m:rPr>
                <w:rPr>
                  <w:rFonts w:ascii="Cambria Math" w:hAnsi="Cambria Math"/>
                </w:rPr>
                <m:t>Q</m:t>
              </m:r>
            </m:sup>
          </m:sSup>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7"/>
    </w:p>
    <w:p w14:paraId="5179893B" w14:textId="77777777" w:rsidR="00690B16" w:rsidRDefault="00986D3D">
      <w:pPr>
        <w:pStyle w:val="FirstParagraph"/>
      </w:pPr>
      <w:r>
        <w:t xml:space="preserve">por lo tanto, el tipo de interés spot simulado hasta </w:t>
      </w:r>
      <m:oMath>
        <m:r>
          <w:rPr>
            <w:rFonts w:ascii="Cambria Math" w:hAnsi="Cambria Math"/>
          </w:rPr>
          <m:t>t</m:t>
        </m:r>
      </m:oMath>
      <w:r>
        <w:t xml:space="preserve"> bajo la medida riesgo neutral </w:t>
      </w:r>
      <m:oMath>
        <m:r>
          <m:rPr>
            <m:scr m:val="double-struck"/>
            <m:sty m:val="p"/>
          </m:rPr>
          <w:rPr>
            <w:rFonts w:ascii="Cambria Math" w:hAnsi="Cambria Math"/>
          </w:rPr>
          <m:t>Q</m:t>
        </m:r>
      </m:oMath>
      <w:r>
        <w:t xml:space="preserve"> está apróximad</w:t>
      </w:r>
      <w:r>
        <w:t>amente centrado en el forward instantáneo con un sesgo que crece con el plazo.</w:t>
      </w:r>
    </w:p>
    <w:p w14:paraId="3E92791F" w14:textId="77777777" w:rsidR="00690B16" w:rsidRDefault="00986D3D">
      <w:pPr>
        <w:pStyle w:val="Ttulo2"/>
      </w:pPr>
      <w:bookmarkStart w:id="8" w:name="productos-en-divisa-no"/>
      <w:bookmarkEnd w:id="6"/>
      <w:r>
        <w:t>Productos en divisa no €</w:t>
      </w:r>
    </w:p>
    <w:p w14:paraId="143D6831" w14:textId="77777777" w:rsidR="00690B16" w:rsidRDefault="00986D3D">
      <w:pPr>
        <w:pStyle w:val="FirstParagraph"/>
      </w:pPr>
      <w:r>
        <w:t xml:space="preserve">En el caso que el producto de tipos de interés esté denominado en una divisa </w:t>
      </w:r>
      <m:oMath>
        <m:r>
          <w:rPr>
            <w:rFonts w:ascii="Cambria Math" w:hAnsi="Cambria Math"/>
          </w:rPr>
          <m:t>f</m:t>
        </m:r>
      </m:oMath>
      <w:r>
        <w:t xml:space="preserve">, distinta a la moneda base </w:t>
      </w:r>
      <m:oMath>
        <m:r>
          <w:rPr>
            <w:rFonts w:ascii="Cambria Math" w:hAnsi="Cambria Math"/>
          </w:rPr>
          <m:t>d</m:t>
        </m:r>
      </m:oMath>
      <w:r>
        <w:t>, es necesario activar los factores de ries</w:t>
      </w:r>
      <w:r>
        <w:t xml:space="preserve">go adicionales </w:t>
      </w:r>
      <m:oMath>
        <m:sSub>
          <m:sSubPr>
            <m:ctrlPr>
              <w:rPr>
                <w:rFonts w:ascii="Cambria Math" w:hAnsi="Cambria Math"/>
              </w:rPr>
            </m:ctrlPr>
          </m:sSubPr>
          <m:e>
            <m:r>
              <w:rPr>
                <w:rFonts w:ascii="Cambria Math" w:hAnsi="Cambria Math"/>
              </w:rPr>
              <m:t>r</m:t>
            </m:r>
          </m:e>
          <m:sub>
            <m:r>
              <w:rPr>
                <w:rFonts w:ascii="Cambria Math" w:hAnsi="Cambria Math"/>
              </w:rPr>
              <m:t>d</m:t>
            </m:r>
          </m:sub>
        </m:sSub>
        <m:d>
          <m:dPr>
            <m:ctrlPr>
              <w:rPr>
                <w:rFonts w:ascii="Cambria Math" w:hAnsi="Cambria Math"/>
              </w:rPr>
            </m:ctrlPr>
          </m:dPr>
          <m:e>
            <m:r>
              <w:rPr>
                <w:rFonts w:ascii="Cambria Math" w:hAnsi="Cambria Math"/>
              </w:rPr>
              <m:t>t</m:t>
            </m:r>
          </m:e>
        </m:d>
      </m:oMath>
      <w:r>
        <w:t xml:space="preserve"> y </w:t>
      </w:r>
      <m:oMath>
        <m:r>
          <w:rPr>
            <w:rFonts w:ascii="Cambria Math" w:hAnsi="Cambria Math"/>
          </w:rPr>
          <m:t>X</m:t>
        </m:r>
        <m:d>
          <m:dPr>
            <m:ctrlPr>
              <w:rPr>
                <w:rFonts w:ascii="Cambria Math" w:hAnsi="Cambria Math"/>
              </w:rPr>
            </m:ctrlPr>
          </m:dPr>
          <m:e>
            <m:r>
              <w:rPr>
                <w:rFonts w:ascii="Cambria Math" w:hAnsi="Cambria Math"/>
              </w:rPr>
              <m:t>t</m:t>
            </m:r>
          </m:e>
        </m:d>
      </m:oMath>
      <w:r>
        <w:t>, en línea a lo expuesto en el documento de trabajo (citar ok) “</w:t>
      </w:r>
      <w:r>
        <w:rPr>
          <w:i/>
          <w:iCs/>
        </w:rPr>
        <w:t>Modelos de Difusión para Instrumentos de Tipos de Cambio (FX)</w:t>
      </w:r>
      <w:r>
        <w:t>” pp xx bla bla.</w:t>
      </w:r>
    </w:p>
    <w:p w14:paraId="12D2CFAF" w14:textId="77777777" w:rsidR="00690B16" w:rsidRDefault="00986D3D">
      <w:pPr>
        <w:pStyle w:val="Textoindependiente"/>
      </w:pPr>
      <w:r>
        <w:t>De esa manera, la evolución de los tres factores de riesgo descritos por las dinámicas</w:t>
      </w:r>
    </w:p>
    <w:bookmarkStart w:id="9" w:name="eq-HW1F_QuantoEffect"/>
    <w:p w14:paraId="3C7622AC" w14:textId="77777777" w:rsidR="00690B16" w:rsidRDefault="00986D3D">
      <w:pPr>
        <w:pStyle w:val="Textoindependiente"/>
      </w:pPr>
      <m:oMathPara>
        <m:oMathParaPr>
          <m:jc m:val="center"/>
        </m:oMathParaPr>
        <m:oMath>
          <m:d>
            <m:dPr>
              <m:begChr m:val=""/>
              <m:endChr m:val="}"/>
              <m:ctrlPr>
                <w:rPr>
                  <w:rFonts w:ascii="Cambria Math" w:hAnsi="Cambria Math"/>
                </w:rPr>
              </m:ctrlPr>
            </m:dPr>
            <m:e>
              <m:m>
                <m:mPr>
                  <m:plcHide m:val="1"/>
                  <m:mcs>
                    <m:mc>
                      <m:mcPr>
                        <m:count m:val="1"/>
                        <m:mcJc m:val="right"/>
                      </m:mcPr>
                    </m:mc>
                    <m:mc>
                      <m:mcPr>
                        <m:count m:val="1"/>
                        <m:mcJc m:val="center"/>
                      </m:mcPr>
                    </m:mc>
                    <m:mc>
                      <m:mcPr>
                        <m:count m:val="1"/>
                        <m:mcJc m:val="right"/>
                      </m:mcPr>
                    </m:mc>
                    <m:mc>
                      <m:mcPr>
                        <m:count m:val="1"/>
                        <m:mcJc m:val="center"/>
                      </m:mcPr>
                    </m:mc>
                    <m:mc>
                      <m:mcPr>
                        <m:count m:val="1"/>
                        <m:mcJc m:val="left"/>
                      </m:mcPr>
                    </m:mc>
                  </m:mcs>
                  <m:ctrlPr>
                    <w:rPr>
                      <w:rFonts w:ascii="Cambria Math" w:hAnsi="Cambria Math"/>
                    </w:rPr>
                  </m:ctrlPr>
                </m:mPr>
                <m:mr>
                  <m:e>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f</m:t>
                        </m:r>
                      </m:sub>
                    </m:sSub>
                  </m:e>
                  <m:e>
                    <m:r>
                      <m:rPr>
                        <m:sty m:val="p"/>
                      </m:rPr>
                      <w:rPr>
                        <w:rFonts w:ascii="Cambria Math" w:hAnsi="Cambria Math"/>
                      </w:rPr>
                      <m:t>=</m:t>
                    </m:r>
                  </m:e>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f</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t</m:t>
                            </m:r>
                          </m:e>
                        </m:d>
                        <m:r>
                          <m:rPr>
                            <m:sty m:val="p"/>
                          </m:rPr>
                          <w:rPr>
                            <w:rFonts w:ascii="Cambria Math" w:hAnsi="Cambria Math"/>
                          </w:rPr>
                          <m:t>-</m:t>
                        </m:r>
                        <m:borderBox>
                          <m:borderBoxPr>
                            <m:ctrlPr>
                              <w:rPr>
                                <w:rFonts w:ascii="Cambria Math" w:hAnsi="Cambria Math"/>
                              </w:rPr>
                            </m:ctrlPr>
                          </m:borderBoxPr>
                          <m:e>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t</m:t>
                                </m:r>
                              </m:e>
                            </m:d>
                          </m:e>
                        </m:borderBox>
                      </m:e>
                    </m:d>
                    <m:r>
                      <w:rPr>
                        <w:rFonts w:ascii="Cambria Math" w:hAnsi="Cambria Math"/>
                      </w:rPr>
                      <m:t> </m:t>
                    </m:r>
                    <m:r>
                      <w:rPr>
                        <w:rFonts w:ascii="Cambria Math" w:hAnsi="Cambria Math"/>
                      </w:rPr>
                      <m:t>dt</m:t>
                    </m:r>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f</m:t>
                        </m:r>
                      </m:sub>
                    </m:sSub>
                    <m:r>
                      <w:rPr>
                        <w:rFonts w:ascii="Cambria Math" w:hAnsi="Cambria Math"/>
                      </w:rPr>
                      <m:t> </m:t>
                    </m:r>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f</m:t>
                        </m:r>
                      </m:sub>
                      <m:sup>
                        <m:r>
                          <m:rPr>
                            <m:scr m:val="double-struck"/>
                            <m:sty m:val="p"/>
                          </m:rPr>
                          <w:rPr>
                            <w:rFonts w:ascii="Cambria Math" w:hAnsi="Cambria Math"/>
                          </w:rPr>
                          <m:t>Q</m:t>
                        </m:r>
                      </m:sup>
                    </m:sSubSup>
                    <m:d>
                      <m:dPr>
                        <m:ctrlPr>
                          <w:rPr>
                            <w:rFonts w:ascii="Cambria Math" w:hAnsi="Cambria Math"/>
                          </w:rPr>
                        </m:ctrlPr>
                      </m:dPr>
                      <m:e>
                        <m:r>
                          <w:rPr>
                            <w:rFonts w:ascii="Cambria Math" w:hAnsi="Cambria Math"/>
                          </w:rPr>
                          <m:t>t</m:t>
                        </m:r>
                      </m:e>
                    </m:d>
                  </m:e>
                </m:mr>
                <m:mr>
                  <m:e>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d</m:t>
                        </m:r>
                      </m:sub>
                    </m:sSub>
                  </m:e>
                  <m:e>
                    <m:r>
                      <m:rPr>
                        <m:sty m:val="p"/>
                      </m:rPr>
                      <w:rPr>
                        <w:rFonts w:ascii="Cambria Math" w:hAnsi="Cambria Math"/>
                      </w:rPr>
                      <m:t>=</m:t>
                    </m:r>
                  </m:e>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d>
                          <m:dPr>
                            <m:ctrlPr>
                              <w:rPr>
                                <w:rFonts w:ascii="Cambria Math" w:hAnsi="Cambria Math"/>
                              </w:rPr>
                            </m:ctrlPr>
                          </m:dPr>
                          <m:e>
                            <m:r>
                              <w:rPr>
                                <w:rFonts w:ascii="Cambria Math" w:hAnsi="Cambria Math"/>
                              </w:rPr>
                              <m:t>t</m:t>
                            </m:r>
                          </m:e>
                        </m:d>
                      </m:e>
                    </m:d>
                    <m:r>
                      <w:rPr>
                        <w:rFonts w:ascii="Cambria Math" w:hAnsi="Cambria Math"/>
                      </w:rPr>
                      <m:t> </m:t>
                    </m:r>
                    <m:r>
                      <w:rPr>
                        <w:rFonts w:ascii="Cambria Math" w:hAnsi="Cambria Math"/>
                      </w:rPr>
                      <m:t>dt</m:t>
                    </m:r>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 </m:t>
                    </m:r>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d</m:t>
                        </m:r>
                      </m:sub>
                      <m:sup>
                        <m:r>
                          <m:rPr>
                            <m:scr m:val="double-struck"/>
                            <m:sty m:val="p"/>
                          </m:rPr>
                          <w:rPr>
                            <w:rFonts w:ascii="Cambria Math" w:hAnsi="Cambria Math"/>
                          </w:rPr>
                          <m:t>Q</m:t>
                        </m:r>
                      </m:sup>
                    </m:sSubSup>
                    <m:d>
                      <m:dPr>
                        <m:ctrlPr>
                          <w:rPr>
                            <w:rFonts w:ascii="Cambria Math" w:hAnsi="Cambria Math"/>
                          </w:rPr>
                        </m:ctrlPr>
                      </m:dPr>
                      <m:e>
                        <m:r>
                          <w:rPr>
                            <w:rFonts w:ascii="Cambria Math" w:hAnsi="Cambria Math"/>
                          </w:rPr>
                          <m:t>t</m:t>
                        </m:r>
                      </m:e>
                    </m:d>
                  </m:e>
                </m:mr>
                <m:mr>
                  <m:e>
                    <m:r>
                      <w:rPr>
                        <w:rFonts w:ascii="Cambria Math" w:hAnsi="Cambria Math"/>
                      </w:rPr>
                      <m:t>dX</m:t>
                    </m:r>
                  </m:e>
                  <m:e>
                    <m:r>
                      <m:rPr>
                        <m:sty m:val="p"/>
                      </m:rPr>
                      <w:rPr>
                        <w:rFonts w:ascii="Cambria Math" w:hAnsi="Cambria Math"/>
                      </w:rPr>
                      <m:t>=</m:t>
                    </m:r>
                  </m:e>
                  <m:e>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r>
                      <w:rPr>
                        <w:rFonts w:ascii="Cambria Math" w:hAnsi="Cambria Math"/>
                      </w:rPr>
                      <m:t> </m:t>
                    </m:r>
                    <m:r>
                      <w:rPr>
                        <w:rFonts w:ascii="Cambria Math" w:hAnsi="Cambria Math"/>
                      </w:rPr>
                      <m:t>dt</m:t>
                    </m:r>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t</m:t>
                        </m:r>
                      </m:e>
                    </m:d>
                    <m:r>
                      <w:rPr>
                        <w:rFonts w:ascii="Cambria Math" w:hAnsi="Cambria Math"/>
                      </w:rPr>
                      <m:t> </m:t>
                    </m:r>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X</m:t>
                        </m:r>
                      </m:sub>
                      <m:sup>
                        <m:r>
                          <m:rPr>
                            <m:scr m:val="double-struck"/>
                            <m:sty m:val="p"/>
                          </m:rPr>
                          <w:rPr>
                            <w:rFonts w:ascii="Cambria Math" w:hAnsi="Cambria Math"/>
                          </w:rPr>
                          <m:t>Q</m:t>
                        </m:r>
                      </m:sup>
                    </m:sSubSup>
                    <m:d>
                      <m:dPr>
                        <m:ctrlPr>
                          <w:rPr>
                            <w:rFonts w:ascii="Cambria Math" w:hAnsi="Cambria Math"/>
                          </w:rPr>
                        </m:ctrlPr>
                      </m:dPr>
                      <m:e>
                        <m:r>
                          <w:rPr>
                            <w:rFonts w:ascii="Cambria Math" w:hAnsi="Cambria Math"/>
                          </w:rPr>
                          <m:t>t</m:t>
                        </m:r>
                      </m:e>
                    </m:d>
                  </m:e>
                </m:mr>
                <m:mr>
                  <m:e/>
                  <m:e/>
                  <m:e/>
                  <m:e/>
                  <m:e/>
                </m:mr>
              </m:m>
            </m:e>
          </m:d>
          <m:r>
            <w:rPr>
              <w:rFonts w:ascii="Cambria Math" w:hAnsi="Cambria Math"/>
            </w:rPr>
            <m:t>  </m:t>
          </m:r>
          <m:d>
            <m:dPr>
              <m:ctrlPr>
                <w:rPr>
                  <w:rFonts w:ascii="Cambria Math" w:hAnsi="Cambria Math"/>
                </w:rPr>
              </m:ctrlPr>
            </m:dPr>
            <m:e>
              <m:r>
                <w:rPr>
                  <w:rFonts w:ascii="Cambria Math" w:hAnsi="Cambria Math"/>
                </w:rPr>
                <m:t>5</m:t>
              </m:r>
            </m:e>
          </m:d>
        </m:oMath>
      </m:oMathPara>
      <w:bookmarkEnd w:id="9"/>
    </w:p>
    <w:p w14:paraId="1B1CFFDF" w14:textId="77777777" w:rsidR="00690B16" w:rsidRDefault="00986D3D">
      <w:pPr>
        <w:pStyle w:val="FirstParagraph"/>
      </w:pPr>
      <w:r>
        <w:t>son necesarios para evaluar la exposición y el CVA de este tipo de productos.</w:t>
      </w:r>
    </w:p>
    <w:p w14:paraId="4290CA41" w14:textId="77777777" w:rsidR="00690B16" w:rsidRDefault="00986D3D">
      <w:pPr>
        <w:pStyle w:val="Textoindependiente"/>
      </w:pPr>
      <w:r>
        <w:t xml:space="preserve">El término </w:t>
      </w: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t</m:t>
            </m:r>
          </m:e>
        </m:d>
      </m:oMath>
      <w:r>
        <w:t xml:space="preserve"> es consecuencia directa de que el producto IR esté denominado en una moneda distinta de la base. En general, se trata de un término pequeño que se </w:t>
      </w:r>
      <w:r>
        <w:t xml:space="preserve">puede despreciar para los valores de mercado habituales tanto de las correlaciones entre los distintos factores como las volatilidades a plazo del spot FX. En la literatura se suele denotar por </w:t>
      </w:r>
      <w:r>
        <w:rPr>
          <w:i/>
          <w:iCs/>
        </w:rPr>
        <w:t>Efecto Quanto FX</w:t>
      </w:r>
      <w:r>
        <w:t>.</w:t>
      </w:r>
    </w:p>
    <w:p w14:paraId="47ABFAF3" w14:textId="77777777" w:rsidR="00690B16" w:rsidRDefault="00986D3D">
      <w:pPr>
        <w:pStyle w:val="Textoindependiente"/>
      </w:pPr>
      <w:r>
        <w:t xml:space="preserve">Habitualmente el factor </w:t>
      </w:r>
      <m:oMath>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F</m:t>
            </m:r>
          </m:sub>
        </m:sSub>
      </m:oMath>
      <w:r>
        <w:t xml:space="preserve"> recibe el no</w:t>
      </w:r>
      <w:r>
        <w:t xml:space="preserve">mbre de </w:t>
      </w:r>
      <w:r>
        <w:rPr>
          <w:i/>
          <w:iCs/>
        </w:rPr>
        <w:t>Correlación Quanto FX</w:t>
      </w:r>
      <w:r>
        <w:t xml:space="preserve">, mientras que el que está asociado a la función determinista </w:t>
      </w:r>
      <m:oMath>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t</m:t>
            </m:r>
          </m:e>
        </m:d>
      </m:oMath>
      <w:r>
        <w:t xml:space="preserve">, la </w:t>
      </w:r>
      <w:r>
        <w:rPr>
          <w:i/>
          <w:iCs/>
        </w:rPr>
        <w:t>Volatilidad Quanto FX</w:t>
      </w:r>
      <w:r>
        <w:t>.</w:t>
      </w:r>
    </w:p>
    <w:p w14:paraId="2BC7263A" w14:textId="77777777" w:rsidR="00690B16" w:rsidRDefault="00986D3D">
      <w:pPr>
        <w:pStyle w:val="Textoindependiente"/>
      </w:pPr>
      <w:r>
        <w:lastRenderedPageBreak/>
        <w:t xml:space="preserve">En lo que sigue, para la descripción de la implementación discreta del factor de riesgo asociado al tipo de interés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caso que </w:t>
      </w:r>
      <w:r>
        <w:t>se trate de productos IR denominados en moneda foránea y sea necesaria su evolución, se puede hacer la identificación</w:t>
      </w:r>
    </w:p>
    <w:p w14:paraId="121252C5" w14:textId="77777777" w:rsidR="00690B16" w:rsidRDefault="00986D3D">
      <w:pPr>
        <w:pStyle w:val="Textoindependiente"/>
      </w:pPr>
      <w:bookmarkStart w:id="10" w:name="eq-QuantoTranslation"/>
      <m:oMathPara>
        <m:oMathParaPr>
          <m:jc m:val="center"/>
        </m:oMathParaPr>
        <m:oMath>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bookmarkEnd w:id="10"/>
    </w:p>
    <w:p w14:paraId="63FDFEEB" w14:textId="77777777" w:rsidR="00690B16" w:rsidRDefault="00986D3D">
      <w:pPr>
        <w:pStyle w:val="FirstParagraph"/>
      </w:pPr>
      <w:r>
        <w:t xml:space="preserve">Asimismo, la expresión de </w:t>
      </w:r>
      <m:oMath>
        <m:r>
          <w:rPr>
            <w:rFonts w:ascii="Cambria Math" w:hAnsi="Cambria Math"/>
          </w:rPr>
          <m:t>g</m:t>
        </m:r>
        <m:d>
          <m:dPr>
            <m:ctrlPr>
              <w:rPr>
                <w:rFonts w:ascii="Cambria Math" w:hAnsi="Cambria Math"/>
              </w:rPr>
            </m:ctrlPr>
          </m:dPr>
          <m:e>
            <m:r>
              <m:rPr>
                <m:sty m:val="p"/>
              </m:rPr>
              <w:rPr>
                <w:rFonts w:ascii="Cambria Math" w:hAnsi="Cambria Math"/>
              </w:rPr>
              <m:t>⋅</m:t>
            </m:r>
          </m:e>
        </m:d>
      </m:oMath>
      <w:r>
        <w:t xml:space="preserve"> (</w:t>
      </w:r>
      <w:hyperlink w:anchor="eq-HullWhiteUnconditionalMean">
        <w:r>
          <w:rPr>
            <w:rStyle w:val="Hipervnculo"/>
          </w:rPr>
          <w:t>Equation 3</w:t>
        </w:r>
      </w:hyperlink>
      <w:r>
        <w:t>) se</w:t>
      </w:r>
      <w:r>
        <w:t xml:space="preserve"> debe modificar para dar cuenta de este término extra debido al </w:t>
      </w:r>
      <w:r>
        <w:rPr>
          <w:i/>
          <w:iCs/>
        </w:rPr>
        <w:t>Efecto Quanto FX</w:t>
      </w:r>
      <w:r>
        <w:t>.</w:t>
      </w:r>
    </w:p>
    <w:p w14:paraId="222975C8" w14:textId="77777777" w:rsidR="00690B16" w:rsidRDefault="00986D3D">
      <w:pPr>
        <w:pStyle w:val="Textoindependiente"/>
      </w:pPr>
      <w:r>
        <w:t xml:space="preserve">Finalmente, para la evolución para el tipo spot FX, </w:t>
      </w:r>
      <m:oMath>
        <m:r>
          <w:rPr>
            <w:rFonts w:ascii="Cambria Math" w:hAnsi="Cambria Math"/>
          </w:rPr>
          <m:t>X</m:t>
        </m:r>
        <m:d>
          <m:dPr>
            <m:ctrlPr>
              <w:rPr>
                <w:rFonts w:ascii="Cambria Math" w:hAnsi="Cambria Math"/>
              </w:rPr>
            </m:ctrlPr>
          </m:dPr>
          <m:e>
            <m:r>
              <w:rPr>
                <w:rFonts w:ascii="Cambria Math" w:hAnsi="Cambria Math"/>
              </w:rPr>
              <m:t>t</m:t>
            </m:r>
          </m:e>
        </m:d>
      </m:oMath>
      <w:r>
        <w:t>, se debe proceder con lo descrito en (citar ok) “</w:t>
      </w:r>
      <w:r>
        <w:rPr>
          <w:i/>
          <w:iCs/>
        </w:rPr>
        <w:t>Modelos de Difusión para Instrumentos de Tipos de Cambio (FX)</w:t>
      </w:r>
      <w:r>
        <w:t>” pp xx</w:t>
      </w:r>
      <w:r>
        <w:t xml:space="preserve"> bla bla.</w:t>
      </w:r>
    </w:p>
    <w:p w14:paraId="2B984F87" w14:textId="77777777" w:rsidR="00690B16" w:rsidRDefault="00986D3D">
      <w:pPr>
        <w:pStyle w:val="Ttulo2"/>
      </w:pPr>
      <w:bookmarkStart w:id="11" w:name="implementación-numérica"/>
      <w:bookmarkEnd w:id="8"/>
      <w:r>
        <w:t>Implementación Numérica</w:t>
      </w:r>
    </w:p>
    <w:p w14:paraId="0D2FA7AB" w14:textId="77777777" w:rsidR="00690B16" w:rsidRDefault="00986D3D">
      <w:pPr>
        <w:pStyle w:val="FirstParagraph"/>
      </w:pPr>
      <w:r>
        <w:t>La evolución de los factores de descuento se discretiza en el grid de AA según las siguientes ecuaciones:</w:t>
      </w:r>
    </w:p>
    <w:bookmarkStart w:id="12" w:name="eq-HullWhite1FactorDFEvolution"/>
    <w:p w14:paraId="783FF261" w14:textId="77777777" w:rsidR="00690B16" w:rsidRDefault="00986D3D">
      <w:pPr>
        <w:pStyle w:val="Textoindependiente"/>
      </w:pPr>
      <m:oMathPara>
        <m:oMathParaPr>
          <m:jc m:val="center"/>
        </m:oMathParaPr>
        <m:oMath>
          <m:d>
            <m:dPr>
              <m:begChr m:val=""/>
              <m:endChr m:val="}"/>
              <m:ctrlPr>
                <w:rPr>
                  <w:rFonts w:ascii="Cambria Math" w:hAnsi="Cambria Math"/>
                </w:rPr>
              </m:ctrlPr>
            </m:dPr>
            <m:e>
              <m:m>
                <m:mPr>
                  <m:plcHide m:val="1"/>
                  <m:mcs>
                    <m:mc>
                      <m:mcPr>
                        <m:count m:val="1"/>
                        <m:mcJc m:val="right"/>
                      </m:mcPr>
                    </m:mc>
                    <m:mc>
                      <m:mcPr>
                        <m:count m:val="1"/>
                        <m:mcJc m:val="center"/>
                      </m:mcPr>
                    </m:mc>
                    <m:mc>
                      <m:mcPr>
                        <m:count m:val="1"/>
                        <m:mcJc m:val="left"/>
                      </m:mcPr>
                    </m:mc>
                  </m:mcs>
                  <m:ctrlPr>
                    <w:rPr>
                      <w:rFonts w:ascii="Cambria Math" w:hAnsi="Cambria Math"/>
                    </w:rPr>
                  </m:ctrlPr>
                </m:mPr>
                <m:mr>
                  <m:e>
                    <m:r>
                      <w:rPr>
                        <w:rFonts w:ascii="Cambria Math" w:hAnsi="Cambria Math"/>
                      </w:rPr>
                      <m:t>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e>
                  <m:e>
                    <m:r>
                      <m:rPr>
                        <m:sty m:val="p"/>
                      </m:rPr>
                      <w:rPr>
                        <w:rFonts w:ascii="Cambria Math" w:hAnsi="Cambria Math"/>
                      </w:rPr>
                      <m:t>=</m:t>
                    </m:r>
                  </m:e>
                  <m:e>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aδ</m:t>
                        </m:r>
                      </m:e>
                    </m:d>
                    <m:r>
                      <m:rPr>
                        <m:sty m:val="p"/>
                      </m:rPr>
                      <w:rPr>
                        <w:rFonts w:ascii="Cambria Math" w:hAnsi="Cambria Math"/>
                      </w:rPr>
                      <m:t>+</m:t>
                    </m:r>
                  </m:e>
                </m:mr>
                <m:mr>
                  <m:e/>
                  <m:e>
                    <m:r>
                      <m:rPr>
                        <m:sty m:val="p"/>
                      </m:rPr>
                      <w:rPr>
                        <w:rFonts w:ascii="Cambria Math" w:hAnsi="Cambria Math"/>
                      </w:rPr>
                      <m:t>+</m:t>
                    </m:r>
                  </m:e>
                  <m:e>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r>
                                  <w:rPr>
                                    <w:rFonts w:ascii="Cambria Math" w:hAnsi="Cambria Math"/>
                                  </w:rPr>
                                  <m:t>aδ</m:t>
                                </m:r>
                              </m:e>
                            </m:d>
                          </m:e>
                        </m:d>
                      </m:e>
                    </m:rad>
                    <m:r>
                      <w:rPr>
                        <w:rFonts w:ascii="Cambria Math" w:hAnsi="Cambria Math"/>
                      </w:rPr>
                      <m:t> </m:t>
                    </m:r>
                    <m:r>
                      <w:rPr>
                        <w:rFonts w:ascii="Cambria Math" w:hAnsi="Cambria Math"/>
                      </w:rPr>
                      <m:t>Z</m:t>
                    </m:r>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mr>
                <m:mr>
                  <m:e/>
                  <m:e/>
                  <m:e/>
                </m:mr>
                <m:mr>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e>
                  <m:e>
                    <m:r>
                      <m:rPr>
                        <m:sty m:val="p"/>
                      </m:rPr>
                      <w:rPr>
                        <w:rFonts w:ascii="Cambria Math" w:hAnsi="Cambria Math"/>
                      </w:rPr>
                      <m:t>=</m:t>
                    </m:r>
                  </m:e>
                  <m:e>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e>
                    </m:d>
                  </m:e>
                </m:mr>
                <m:mr>
                  <m:e/>
                  <m:e/>
                  <m:e/>
                </m:mr>
              </m:m>
            </m:e>
          </m:d>
          <m:r>
            <w:rPr>
              <w:rFonts w:ascii="Cambria Math" w:hAnsi="Cambria Math"/>
            </w:rPr>
            <m:t>  </m:t>
          </m:r>
          <m:d>
            <m:dPr>
              <m:ctrlPr>
                <w:rPr>
                  <w:rFonts w:ascii="Cambria Math" w:hAnsi="Cambria Math"/>
                </w:rPr>
              </m:ctrlPr>
            </m:dPr>
            <m:e>
              <m:r>
                <w:rPr>
                  <w:rFonts w:ascii="Cambria Math" w:hAnsi="Cambria Math"/>
                </w:rPr>
                <m:t>7</m:t>
              </m:r>
            </m:e>
          </m:d>
        </m:oMath>
      </m:oMathPara>
      <w:bookmarkEnd w:id="12"/>
    </w:p>
    <w:p w14:paraId="48427A55" w14:textId="77777777" w:rsidR="00690B16" w:rsidRDefault="00986D3D">
      <w:pPr>
        <w:pStyle w:val="FirstParagraph"/>
      </w:pPr>
      <w:r>
        <w:t>siendo</w:t>
      </w:r>
    </w:p>
    <w:bookmarkStart w:id="13" w:name="eq-HW1F_AffineModel"/>
    <w:p w14:paraId="395BFBE6" w14:textId="77777777" w:rsidR="00690B16" w:rsidRDefault="00986D3D">
      <w:pPr>
        <w:pStyle w:val="Textoindependiente"/>
      </w:pPr>
      <m:oMathPara>
        <m:oMathParaPr>
          <m:jc m:val="center"/>
        </m:oMathParaPr>
        <m:oMath>
          <m:m>
            <m:mPr>
              <m:plcHide m:val="1"/>
              <m:mcs>
                <m:mc>
                  <m:mcPr>
                    <m:count m:val="1"/>
                    <m:mcJc m:val="right"/>
                  </m:mcPr>
                </m:mc>
                <m:mc>
                  <m:mcPr>
                    <m:count m:val="1"/>
                    <m:mcJc m:val="center"/>
                  </m:mcPr>
                </m:mc>
                <m:mc>
                  <m:mcPr>
                    <m:count m:val="1"/>
                    <m:mcJc m:val="left"/>
                  </m:mcPr>
                </m:mc>
              </m:mcs>
              <m:ctrlPr>
                <w:rPr>
                  <w:rFonts w:ascii="Cambria Math" w:hAnsi="Cambria Math"/>
                </w:rPr>
              </m:ctrlPr>
            </m:mPr>
            <m:mr>
              <m:e>
                <m:r>
                  <w:rPr>
                    <w:rFonts w:ascii="Cambria Math" w:hAnsi="Cambria Math"/>
                  </w:rPr>
                  <m:t>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e>
                <m:r>
                  <m:rPr>
                    <m:sty m:val="p"/>
                  </m:rP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p>
                    </m:sSup>
                  </m:e>
                </m:d>
              </m:e>
            </m:mr>
            <m:mr>
              <m:e>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e>
                <m:r>
                  <m:rPr>
                    <m:sty m:val="p"/>
                  </m:rPr>
                  <w:rPr>
                    <w:rFonts w:ascii="Cambria Math" w:hAnsi="Cambria Math"/>
                  </w:rPr>
                  <m:t>=</m:t>
                </m:r>
              </m:e>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num>
                  <m:den>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den>
                </m:f>
                <m:r>
                  <m:rPr>
                    <m:sty m:val="p"/>
                  </m:rPr>
                  <w:rPr>
                    <w:rFonts w:ascii="Cambria Math" w:hAnsi="Cambria Math"/>
                  </w:rPr>
                  <m:t>exp</m:t>
                </m:r>
                <m:d>
                  <m:dPr>
                    <m:begChr m:val="["/>
                    <m:endChr m:val="]"/>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4</m:t>
                        </m:r>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r>
                              <w:rPr>
                                <w:rFonts w:ascii="Cambria Math" w:hAnsi="Cambria Math"/>
                              </w:rPr>
                              <m:t>at</m:t>
                            </m:r>
                          </m:e>
                        </m:d>
                      </m:e>
                    </m:d>
                    <m:r>
                      <w:rPr>
                        <w:rFonts w:ascii="Cambria Math" w:hAnsi="Cambria Math"/>
                      </w:rPr>
                      <m:t>B</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sup>
                        <m:r>
                          <w:rPr>
                            <w:rFonts w:ascii="Cambria Math" w:hAnsi="Cambria Math"/>
                          </w:rPr>
                          <m:t>2</m:t>
                        </m:r>
                      </m:sup>
                    </m:sSup>
                  </m:e>
                </m:d>
              </m:e>
            </m:mr>
            <m:mr>
              <m:e/>
              <m:e/>
              <m:e/>
            </m:mr>
          </m:m>
          <m:r>
            <w:rPr>
              <w:rFonts w:ascii="Cambria Math" w:hAnsi="Cambria Math"/>
            </w:rPr>
            <m:t>  </m:t>
          </m:r>
          <m:d>
            <m:dPr>
              <m:ctrlPr>
                <w:rPr>
                  <w:rFonts w:ascii="Cambria Math" w:hAnsi="Cambria Math"/>
                </w:rPr>
              </m:ctrlPr>
            </m:dPr>
            <m:e>
              <m:r>
                <w:rPr>
                  <w:rFonts w:ascii="Cambria Math" w:hAnsi="Cambria Math"/>
                </w:rPr>
                <m:t>8</m:t>
              </m:r>
            </m:e>
          </m:d>
        </m:oMath>
      </m:oMathPara>
      <w:bookmarkEnd w:id="13"/>
    </w:p>
    <w:p w14:paraId="18DB8B69" w14:textId="77777777" w:rsidR="00690B16" w:rsidRDefault="00986D3D">
      <w:pPr>
        <w:pStyle w:val="Ttulo2"/>
      </w:pPr>
      <w:bookmarkStart w:id="14" w:name="calibración-del-modelo-de-difusión-ir"/>
      <w:bookmarkEnd w:id="11"/>
      <w:r>
        <w:t>Calibración del Modelo de Difusión IR</w:t>
      </w:r>
    </w:p>
    <w:p w14:paraId="3980015A" w14:textId="77777777" w:rsidR="00690B16" w:rsidRDefault="00986D3D">
      <w:pPr>
        <w:pStyle w:val="FirstParagraph"/>
      </w:pPr>
      <w:r>
        <w:t>Por lo visto anteriormente, la simulación (</w:t>
      </w:r>
      <w:hyperlink w:anchor="eq-HullWhite1FactorDFEvolution">
        <w:r>
          <w:rPr>
            <w:rStyle w:val="Hipervnculo"/>
          </w:rPr>
          <w:t>Equation 7</w:t>
        </w:r>
      </w:hyperlink>
      <w:r>
        <w:t xml:space="preserve">) en el grid de </w:t>
      </w:r>
      <w:r>
        <w:t xml:space="preserve">AA requiere de la estimación del par de parámetros </w:t>
      </w:r>
      <m:oMath>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a</m:t>
            </m:r>
          </m:e>
        </m:d>
      </m:oMath>
    </w:p>
    <w:p w14:paraId="7EC0BB19" w14:textId="77777777" w:rsidR="00690B16" w:rsidRDefault="00986D3D">
      <w:pPr>
        <w:pStyle w:val="Textoindependiente"/>
      </w:pPr>
      <w:r>
        <w:t xml:space="preserve">El modelo de Hull-White es un modelo afín, lo que implica una fórmula cerrada que relaciona tipo instantáneo y el precio del bono cupón cero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p>
        </m:sSup>
      </m:oMath>
      <w:r>
        <w:t>:</w:t>
      </w:r>
    </w:p>
    <w:p w14:paraId="42D6B361" w14:textId="77777777" w:rsidR="00690B16" w:rsidRDefault="00986D3D">
      <w:pPr>
        <w:pStyle w:val="Textoindependiente"/>
      </w:pPr>
      <w:bookmarkStart w:id="15" w:name="eq-HW1F_LogZCBond"/>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=log</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9</m:t>
              </m:r>
            </m:e>
          </m:d>
        </m:oMath>
      </m:oMathPara>
      <w:bookmarkEnd w:id="15"/>
    </w:p>
    <w:p w14:paraId="41AC6F79" w14:textId="77777777" w:rsidR="00690B16" w:rsidRDefault="00986D3D">
      <w:pPr>
        <w:pStyle w:val="FirstParagraph"/>
      </w:pPr>
      <w:r>
        <w:t>Aplicando el lema de Îto sobre (</w:t>
      </w:r>
      <w:hyperlink w:anchor="eq-HW1F_LogZCBond">
        <w:r>
          <w:rPr>
            <w:rStyle w:val="Hipervnculo"/>
          </w:rPr>
          <w:t>Equation 9</w:t>
        </w:r>
      </w:hyperlink>
      <w:r>
        <w:t>) se tiene</w:t>
      </w:r>
    </w:p>
    <w:p w14:paraId="0F3D49A1" w14:textId="77777777" w:rsidR="00690B16" w:rsidRDefault="00986D3D">
      <w:pPr>
        <w:pStyle w:val="Textoindependiente"/>
      </w:pPr>
      <w:bookmarkStart w:id="16" w:name="eq-HW1F_DiscountBond"/>
      <m:oMathPara>
        <m:oMathParaPr>
          <m:jc m:val="center"/>
        </m:oMathParaPr>
        <m:oMath>
          <m:r>
            <w:rPr>
              <w:rFonts w:ascii="Cambria Math" w:hAnsi="Cambria Math"/>
            </w:rPr>
            <m:t>d</m:t>
          </m:r>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 </m:t>
          </m:r>
          <m:r>
            <w:rPr>
              <w:rFonts w:ascii="Cambria Math" w:hAnsi="Cambria Math"/>
            </w:rPr>
            <m:t>dt</m:t>
          </m:r>
          <m:r>
            <m:rPr>
              <m:sty m:val="p"/>
            </m:rPr>
            <w:rPr>
              <w:rFonts w:ascii="Cambria Math" w:hAnsi="Cambria Math"/>
            </w:rPr>
            <m:t>+</m:t>
          </m:r>
          <m:r>
            <w:rPr>
              <w:rFonts w:ascii="Cambria Math" w:hAnsi="Cambria Math"/>
            </w:rPr>
            <m:t>σB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 </m:t>
          </m:r>
          <m:r>
            <w:rPr>
              <w:rFonts w:ascii="Cambria Math" w:hAnsi="Cambria Math"/>
            </w:rPr>
            <m:t>dW</m:t>
          </m:r>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10</m:t>
              </m:r>
            </m:e>
          </m:d>
        </m:oMath>
      </m:oMathPara>
      <w:bookmarkEnd w:id="16"/>
    </w:p>
    <w:p w14:paraId="3D3E62B5" w14:textId="77777777" w:rsidR="00690B16" w:rsidRDefault="00986D3D">
      <w:pPr>
        <w:pStyle w:val="FirstParagraph"/>
      </w:pPr>
      <w:r>
        <w:t xml:space="preserve">Consideremos la integración de la anterior difusión en el intervalo </w:t>
      </w:r>
      <m:oMath>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e>
        </m:d>
      </m:oMath>
      <w:r>
        <w:t xml:space="preserve"> con </w:t>
      </w:r>
      <m:oMath>
        <m:r>
          <w:rPr>
            <w:rFonts w:ascii="Cambria Math" w:hAnsi="Cambria Math"/>
          </w:rPr>
          <m:t>Δt</m:t>
        </m:r>
        <m:r>
          <m:rPr>
            <m:sty m:val="p"/>
          </m:rPr>
          <w:rPr>
            <w:rFonts w:ascii="Cambria Math" w:hAnsi="Cambria Math"/>
          </w:rPr>
          <m:t>≪</m:t>
        </m:r>
        <m:r>
          <w:rPr>
            <w:rFonts w:ascii="Cambria Math" w:hAnsi="Cambria Math"/>
          </w:rPr>
          <m:t>1</m:t>
        </m:r>
      </m:oMath>
      <w:r>
        <w:t xml:space="preserve"> en la medida </w:t>
      </w:r>
      <w:r>
        <w:t xml:space="preserve">de probabilidad histórica </w:t>
      </w:r>
      <m:oMath>
        <m:r>
          <m:rPr>
            <m:scr m:val="double-struck"/>
            <m:sty m:val="p"/>
          </m:rPr>
          <w:rPr>
            <w:rFonts w:ascii="Cambria Math" w:hAnsi="Cambria Math"/>
          </w:rPr>
          <m:t>P</m:t>
        </m:r>
      </m:oMath>
      <w:r>
        <w:t>:</w:t>
      </w:r>
    </w:p>
    <w:bookmarkStart w:id="17" w:name="eq-ExactDiscretization"/>
    <w:p w14:paraId="1D5D7C98" w14:textId="77777777" w:rsidR="00690B16" w:rsidRDefault="00986D3D">
      <w:pPr>
        <w:pStyle w:val="Textoindependiente"/>
      </w:pPr>
      <m:oMathPara>
        <m:oMathParaPr>
          <m:jc m:val="center"/>
        </m:oMathParaPr>
        <m:oMath>
          <m:d>
            <m:dPr>
              <m:begChr m:val=""/>
              <m:endChr m:val="}"/>
              <m:ctrlPr>
                <w:rPr>
                  <w:rFonts w:ascii="Cambria Math" w:hAnsi="Cambria Math"/>
                </w:rPr>
              </m:ctrlPr>
            </m:dPr>
            <m:e>
              <m:m>
                <m:mPr>
                  <m:plcHide m:val="1"/>
                  <m:mcs>
                    <m:mc>
                      <m:mcPr>
                        <m:count m:val="1"/>
                        <m:mcJc m:val="right"/>
                      </m:mcPr>
                    </m:mc>
                    <m:mc>
                      <m:mcPr>
                        <m:count m:val="1"/>
                        <m:mcJc m:val="left"/>
                      </m:mcPr>
                    </m:mc>
                  </m:mcs>
                  <m:ctrlPr>
                    <w:rPr>
                      <w:rFonts w:ascii="Cambria Math" w:hAnsi="Cambria Math"/>
                    </w:rPr>
                  </m:ctrlPr>
                </m:mPr>
                <m:mr>
                  <m:e>
                    <m:nary>
                      <m:naryPr>
                        <m:limLoc m:val="subSup"/>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Δt</m:t>
                        </m:r>
                      </m:sup>
                      <m:e>
                        <m:r>
                          <w:rPr>
                            <w:rFonts w:ascii="Cambria Math" w:hAnsi="Cambria Math"/>
                          </w:rPr>
                          <m:t>d</m:t>
                        </m:r>
                      </m:e>
                    </m:nary>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e>
                  <m:e>
                    <m:r>
                      <m:rPr>
                        <m:sty m:val="p"/>
                      </m:rPr>
                      <w:rPr>
                        <w:rFonts w:ascii="Cambria Math" w:hAnsi="Cambria Math"/>
                      </w:rPr>
                      <m:t>=</m:t>
                    </m:r>
                    <m:nary>
                      <m:naryPr>
                        <m:limLoc m:val="subSup"/>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Δt</m:t>
                        </m:r>
                      </m:sup>
                      <m:e>
                        <m:acc>
                          <m:accPr>
                            <m:chr m:val="̃"/>
                            <m:ctrlPr>
                              <w:rPr>
                                <w:rFonts w:ascii="Cambria Math" w:hAnsi="Cambria Math"/>
                              </w:rPr>
                            </m:ctrlPr>
                          </m:accPr>
                          <m:e>
                            <m:r>
                              <w:rPr>
                                <w:rFonts w:ascii="Cambria Math" w:hAnsi="Cambria Math"/>
                              </w:rPr>
                              <m:t>μ</m:t>
                            </m:r>
                          </m:e>
                        </m:acc>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w:rPr>
                        <w:rFonts w:ascii="Cambria Math" w:hAnsi="Cambria Math"/>
                      </w:rPr>
                      <m:t> </m:t>
                    </m:r>
                    <m:r>
                      <w:rPr>
                        <w:rFonts w:ascii="Cambria Math" w:hAnsi="Cambria Math"/>
                      </w:rPr>
                      <m:t>ds</m:t>
                    </m:r>
                    <m:r>
                      <m:rPr>
                        <m:sty m:val="p"/>
                      </m:rPr>
                      <w:rPr>
                        <w:rFonts w:ascii="Cambria Math" w:hAnsi="Cambria Math"/>
                      </w:rPr>
                      <m:t>+</m:t>
                    </m:r>
                    <m:nary>
                      <m:naryPr>
                        <m:limLoc m:val="subSup"/>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Δt</m:t>
                        </m:r>
                      </m:sup>
                      <m:e>
                        <m:r>
                          <w:rPr>
                            <w:rFonts w:ascii="Cambria Math" w:hAnsi="Cambria Math"/>
                          </w:rPr>
                          <m:t>σ</m:t>
                        </m:r>
                      </m:e>
                    </m:nary>
                    <m:r>
                      <w:rPr>
                        <w:rFonts w:ascii="Cambria Math" w:hAnsi="Cambria Math"/>
                      </w:rPr>
                      <m:t>B</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w:rPr>
                        <w:rFonts w:ascii="Cambria Math" w:hAnsi="Cambria Math"/>
                      </w:rPr>
                      <m:t>d</m:t>
                    </m:r>
                    <m:sSup>
                      <m:sSupPr>
                        <m:ctrlPr>
                          <w:rPr>
                            <w:rFonts w:ascii="Cambria Math" w:hAnsi="Cambria Math"/>
                          </w:rPr>
                        </m:ctrlPr>
                      </m:sSupPr>
                      <m:e>
                        <m:r>
                          <w:rPr>
                            <w:rFonts w:ascii="Cambria Math" w:hAnsi="Cambria Math"/>
                          </w:rPr>
                          <m:t>W</m:t>
                        </m:r>
                      </m:e>
                      <m:sup>
                        <m:r>
                          <m:rPr>
                            <m:scr m:val="double-struck"/>
                            <m:sty m:val="p"/>
                          </m:rPr>
                          <w:rPr>
                            <w:rFonts w:ascii="Cambria Math" w:hAnsi="Cambria Math"/>
                          </w:rPr>
                          <m:t>P</m:t>
                        </m:r>
                      </m:sup>
                    </m:sSup>
                    <m:d>
                      <m:dPr>
                        <m:ctrlPr>
                          <w:rPr>
                            <w:rFonts w:ascii="Cambria Math" w:hAnsi="Cambria Math"/>
                          </w:rPr>
                        </m:ctrlPr>
                      </m:dPr>
                      <m:e>
                        <m:r>
                          <w:rPr>
                            <w:rFonts w:ascii="Cambria Math" w:hAnsi="Cambria Math"/>
                          </w:rPr>
                          <m:t>s</m:t>
                        </m:r>
                      </m:e>
                    </m:d>
                  </m:e>
                </m:mr>
                <m:mr>
                  <m:e>
                    <m:r>
                      <m:rPr>
                        <m:sty m:val="p"/>
                      </m:rPr>
                      <w:rPr>
                        <w:rFonts w:ascii="Cambria Math" w:hAnsi="Cambria Math"/>
                      </w:rPr>
                      <m:t>log</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T</m:t>
                            </m:r>
                          </m:e>
                        </m:d>
                      </m:num>
                      <m:den>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den>
                    </m:f>
                  </m:e>
                  <m:e>
                    <m:r>
                      <m:rPr>
                        <m:sty m:val="p"/>
                      </m:rPr>
                      <w:rPr>
                        <w:rFonts w:ascii="Cambria Math" w:hAnsi="Cambria Math"/>
                      </w:rPr>
                      <m:t>≈</m:t>
                    </m:r>
                    <m:acc>
                      <m:accPr>
                        <m:chr m:val="̃"/>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d>
                      <m:dPr>
                        <m:ctrlPr>
                          <w:rPr>
                            <w:rFonts w:ascii="Cambria Math" w:hAnsi="Cambria Math"/>
                          </w:rPr>
                        </m:ctrlPr>
                      </m:dPr>
                      <m:e>
                        <m:r>
                          <w:rPr>
                            <w:rFonts w:ascii="Cambria Math" w:hAnsi="Cambria Math"/>
                          </w:rPr>
                          <m:t>Δt</m:t>
                        </m:r>
                      </m:e>
                    </m:d>
                    <m:r>
                      <m:rPr>
                        <m:sty m:val="p"/>
                      </m:rPr>
                      <w:rPr>
                        <w:rFonts w:ascii="Cambria Math" w:hAnsi="Cambria Math"/>
                      </w:rPr>
                      <m:t>+</m:t>
                    </m:r>
                    <m:r>
                      <w:rPr>
                        <w:rFonts w:ascii="Cambria Math" w:hAnsi="Cambria Math"/>
                      </w:rPr>
                      <m:t>σB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d>
                      <m:dPr>
                        <m:ctrlPr>
                          <w:rPr>
                            <w:rFonts w:ascii="Cambria Math" w:hAnsi="Cambria Math"/>
                          </w:rPr>
                        </m:ctrlPr>
                      </m:dPr>
                      <m:e>
                        <m:r>
                          <w:rPr>
                            <w:rFonts w:ascii="Cambria Math" w:hAnsi="Cambria Math"/>
                          </w:rPr>
                          <m:t>ΔW</m:t>
                        </m:r>
                      </m:e>
                    </m:d>
                  </m:e>
                </m:mr>
              </m:m>
            </m:e>
          </m:d>
          <m:r>
            <w:rPr>
              <w:rFonts w:ascii="Cambria Math" w:hAnsi="Cambria Math"/>
            </w:rPr>
            <m:t>  </m:t>
          </m:r>
          <m:d>
            <m:dPr>
              <m:ctrlPr>
                <w:rPr>
                  <w:rFonts w:ascii="Cambria Math" w:hAnsi="Cambria Math"/>
                </w:rPr>
              </m:ctrlPr>
            </m:dPr>
            <m:e>
              <m:r>
                <w:rPr>
                  <w:rFonts w:ascii="Cambria Math" w:hAnsi="Cambria Math"/>
                </w:rPr>
                <m:t>11</m:t>
              </m:r>
            </m:e>
          </m:d>
        </m:oMath>
      </m:oMathPara>
      <w:bookmarkEnd w:id="17"/>
    </w:p>
    <w:p w14:paraId="26818798" w14:textId="77777777" w:rsidR="00690B16" w:rsidRDefault="00986D3D">
      <w:pPr>
        <w:pStyle w:val="FirstParagraph"/>
      </w:pPr>
      <w:r>
        <w:t xml:space="preserve">con </w:t>
      </w:r>
      <m:oMath>
        <m:r>
          <w:rPr>
            <w:rFonts w:ascii="Cambria Math" w:hAnsi="Cambria Math"/>
          </w:rPr>
          <m:t>ΔW</m:t>
        </m:r>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Δt</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Δt</m:t>
            </m:r>
          </m:e>
        </m:d>
      </m:oMath>
      <w:r>
        <w:t>.</w:t>
      </w:r>
    </w:p>
    <w:p w14:paraId="523BAAC9" w14:textId="77777777" w:rsidR="00690B16" w:rsidRDefault="00986D3D">
      <w:pPr>
        <w:pStyle w:val="Textoindependiente"/>
      </w:pPr>
      <w:r>
        <w:t xml:space="preserve">Así pues, para una discretización con paso constante </w:t>
      </w:r>
      <m:oMath>
        <m:r>
          <w:rPr>
            <w:rFonts w:ascii="Cambria Math" w:hAnsi="Cambria Math"/>
          </w:rPr>
          <m:t>Δt</m:t>
        </m:r>
      </m:oMath>
      <w:r>
        <w:t xml:space="preserve"> se obtiene el siguiente proceso estocástico en tiempo discreto, como aproximante de la difusión exacta que satisface el modelo base (</w:t>
      </w:r>
      <w:hyperlink w:anchor="eq-HW1F_DiscountBond">
        <w:r>
          <w:rPr>
            <w:rStyle w:val="Hipervnculo"/>
          </w:rPr>
          <w:t>Equation 10</w:t>
        </w:r>
      </w:hyperlink>
      <w:r>
        <w:t>)</w:t>
      </w:r>
    </w:p>
    <w:bookmarkStart w:id="18" w:name="eq-HWBondDifussionDiscretization"/>
    <w:p w14:paraId="5613AF52" w14:textId="77777777" w:rsidR="00690B16" w:rsidRDefault="00986D3D">
      <w:pPr>
        <w:pStyle w:val="Textoindependiente"/>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t</m:t>
              </m:r>
            </m:sub>
          </m:sSub>
          <m:r>
            <m:rPr>
              <m:sty m:val="p"/>
            </m:rPr>
            <w:rPr>
              <w:rFonts w:ascii="Cambria Math" w:hAnsi="Cambria Math"/>
            </w:rPr>
            <m:t>+</m:t>
          </m:r>
          <m:r>
            <w:rPr>
              <w:rFonts w:ascii="Cambria Math" w:hAnsi="Cambria Math"/>
            </w:rPr>
            <m:t>σB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ad>
            <m:radPr>
              <m:degHide m:val="1"/>
              <m:ctrlPr>
                <w:rPr>
                  <w:rFonts w:ascii="Cambria Math" w:hAnsi="Cambria Math"/>
                </w:rPr>
              </m:ctrlPr>
            </m:radPr>
            <m:deg/>
            <m:e>
              <m:r>
                <w:rPr>
                  <w:rFonts w:ascii="Cambria Math" w:hAnsi="Cambria Math"/>
                </w:rPr>
                <m:t>Δt</m:t>
              </m:r>
            </m:e>
          </m:ra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w:rPr>
              <w:rFonts w:ascii="Cambria Math" w:hAnsi="Cambria Math"/>
            </w:rPr>
            <m:t>  </m:t>
          </m:r>
          <m:d>
            <m:dPr>
              <m:ctrlPr>
                <w:rPr>
                  <w:rFonts w:ascii="Cambria Math" w:hAnsi="Cambria Math"/>
                </w:rPr>
              </m:ctrlPr>
            </m:dPr>
            <m:e>
              <m:r>
                <w:rPr>
                  <w:rFonts w:ascii="Cambria Math" w:hAnsi="Cambria Math"/>
                </w:rPr>
                <m:t>12</m:t>
              </m:r>
            </m:e>
          </m:d>
        </m:oMath>
      </m:oMathPara>
      <w:bookmarkEnd w:id="18"/>
    </w:p>
    <w:p w14:paraId="4C39AF82" w14:textId="77777777" w:rsidR="00690B16" w:rsidRDefault="00986D3D">
      <w:pPr>
        <w:pStyle w:val="FirstParagraph"/>
      </w:pPr>
      <w:r>
        <w:t xml:space="preserve">donde </w:t>
      </w:r>
      <m:oMath>
        <m:r>
          <m:rPr>
            <m:sty m:val="p"/>
          </m:rPr>
          <w:rPr>
            <w:rFonts w:ascii="Cambria Math" w:hAnsi="Cambria Math"/>
          </w:rPr>
          <m:t>∇</m:t>
        </m:r>
      </m:oMath>
      <w:r>
        <w:t xml:space="preserve"> es el operador en diferencias de primer orden,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5C0EFC72" w14:textId="77777777" w:rsidR="00690B16" w:rsidRDefault="00986D3D">
      <w:pPr>
        <w:pStyle w:val="Textoindependiente"/>
      </w:pPr>
      <w:r>
        <w:t>La varianza de la serie temporal (</w:t>
      </w:r>
      <w:hyperlink w:anchor="eq-HWBondDifussionDiscretization">
        <w:r>
          <w:rPr>
            <w:rStyle w:val="Hipervnculo"/>
          </w:rPr>
          <w:t>Equation 12</w:t>
        </w:r>
      </w:hyperlink>
      <w:r>
        <w:t>) cumplirá:</w:t>
      </w:r>
    </w:p>
    <w:p w14:paraId="45F782AC" w14:textId="77777777" w:rsidR="00690B16" w:rsidRDefault="00986D3D">
      <w:pPr>
        <w:pStyle w:val="Textoindependiente"/>
      </w:pPr>
      <m:oMathPara>
        <m:oMathParaPr>
          <m:jc m:val="center"/>
        </m:oMathParaPr>
        <m:oMath>
          <m:r>
            <w:rPr>
              <w:rFonts w:ascii="Cambria Math" w:hAnsi="Cambria Math"/>
            </w:rPr>
            <m:t>var</m:t>
          </m:r>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B</m:t>
              </m:r>
            </m:e>
            <m:sup>
              <m:r>
                <w:rPr>
                  <w:rFonts w:ascii="Cambria Math" w:hAnsi="Cambria Math"/>
                </w:rPr>
                <m:t>2</m:t>
              </m:r>
            </m:sup>
          </m:s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Δt</m:t>
          </m:r>
        </m:oMath>
      </m:oMathPara>
    </w:p>
    <w:p w14:paraId="435CD17B" w14:textId="77777777" w:rsidR="00690B16" w:rsidRDefault="00986D3D">
      <w:pPr>
        <w:pStyle w:val="FirstParagraph"/>
      </w:pPr>
      <w:r>
        <w:t>Así pues el estimador muestral de la volatilidad del cambio porcentual en los factores de descuento, convenientemente anualizado, proporciona un estimador de los parámetros (</w:t>
      </w:r>
      <m:oMath>
        <m:acc>
          <m:accPr>
            <m:ctrlPr>
              <w:rPr>
                <w:rFonts w:ascii="Cambria Math" w:hAnsi="Cambria Math"/>
              </w:rPr>
            </m:ctrlPr>
          </m:accPr>
          <m:e>
            <m:r>
              <w:rPr>
                <w:rFonts w:ascii="Cambria Math" w:hAnsi="Cambria Math"/>
              </w:rPr>
              <m:t>σ</m:t>
            </m:r>
          </m:e>
        </m:acc>
        <m:r>
          <m:rPr>
            <m:sty m:val="p"/>
          </m:rPr>
          <w:rPr>
            <w:rFonts w:ascii="Cambria Math" w:hAnsi="Cambria Math"/>
          </w:rPr>
          <m:t>,</m:t>
        </m:r>
        <m:acc>
          <m:accPr>
            <m:ctrlPr>
              <w:rPr>
                <w:rFonts w:ascii="Cambria Math" w:hAnsi="Cambria Math"/>
              </w:rPr>
            </m:ctrlPr>
          </m:accPr>
          <m:e>
            <m:r>
              <w:rPr>
                <w:rFonts w:ascii="Cambria Math" w:hAnsi="Cambria Math"/>
              </w:rPr>
              <m:t>a</m:t>
            </m:r>
          </m:e>
        </m:acc>
      </m:oMath>
      <w:r>
        <w:t>) a través la relación:</w:t>
      </w:r>
    </w:p>
    <w:bookmarkStart w:id="19" w:name="eq-HW1FHistoricalEstimator"/>
    <w:p w14:paraId="5ADD4315" w14:textId="77777777" w:rsidR="00690B16" w:rsidRDefault="00986D3D">
      <w:pPr>
        <w:pStyle w:val="Textoindependiente"/>
      </w:pPr>
      <m:oMathPara>
        <m:oMathParaPr>
          <m:jc m:val="center"/>
        </m:oMathParaPr>
        <m:oMath>
          <m:d>
            <m:dPr>
              <m:begChr m:val=""/>
              <m:endChr m:val="}"/>
              <m:ctrlPr>
                <w:rPr>
                  <w:rFonts w:ascii="Cambria Math" w:hAnsi="Cambria Math"/>
                </w:rPr>
              </m:ctrlPr>
            </m:dPr>
            <m:e>
              <m:m>
                <m:mPr>
                  <m:plcHide m:val="1"/>
                  <m:mcs>
                    <m:mc>
                      <m:mcPr>
                        <m:count m:val="1"/>
                        <m:mcJc m:val="right"/>
                      </m:mcPr>
                    </m:mc>
                    <m:mc>
                      <m:mcPr>
                        <m:count m:val="1"/>
                        <m:mcJc m:val="left"/>
                      </m:mcPr>
                    </m:mc>
                  </m:mcs>
                  <m:ctrlPr>
                    <w:rPr>
                      <w:rFonts w:ascii="Cambria Math" w:hAnsi="Cambria Math"/>
                    </w:rPr>
                  </m:ctrlPr>
                </m:mPr>
                <m:mr>
                  <m:e>
                    <m:acc>
                      <m:accPr>
                        <m:ctrlPr>
                          <w:rPr>
                            <w:rFonts w:ascii="Cambria Math" w:hAnsi="Cambria Math"/>
                          </w:rPr>
                        </m:ctrlPr>
                      </m:accPr>
                      <m:e>
                        <m:r>
                          <w:rPr>
                            <w:rFonts w:ascii="Cambria Math" w:hAnsi="Cambria Math"/>
                          </w:rPr>
                          <m:t>Σ</m:t>
                        </m:r>
                      </m:e>
                    </m:acc>
                    <m:d>
                      <m:dPr>
                        <m:ctrlPr>
                          <w:rPr>
                            <w:rFonts w:ascii="Cambria Math" w:hAnsi="Cambria Math"/>
                          </w:rPr>
                        </m:ctrlPr>
                      </m:dPr>
                      <m:e>
                        <m:r>
                          <w:rPr>
                            <w:rFonts w:ascii="Cambria Math" w:hAnsi="Cambria Math"/>
                          </w:rPr>
                          <m:t>τ</m:t>
                        </m:r>
                      </m:e>
                    </m:d>
                  </m:e>
                  <m:e>
                    <m:box>
                      <m:boxPr>
                        <m:opEmu m:val="1"/>
                        <m:ctrlPr>
                          <w:rPr>
                            <w:rFonts w:ascii="Cambria Math" w:hAnsi="Cambria Math"/>
                          </w:rPr>
                        </m:ctrlPr>
                      </m:boxPr>
                      <m:e>
                        <m:r>
                          <m:rPr>
                            <m:sty m:val="p"/>
                          </m:rPr>
                          <w:rPr>
                            <w:rFonts w:ascii="Cambria Math" w:hAnsi="Cambria Math"/>
                          </w:rPr>
                          <m:t>:=</m:t>
                        </m:r>
                      </m:e>
                    </m:box>
                    <m:rad>
                      <m:radPr>
                        <m:degHide m:val="1"/>
                        <m:ctrlPr>
                          <w:rPr>
                            <w:rFonts w:ascii="Cambria Math" w:hAnsi="Cambria Math"/>
                          </w:rPr>
                        </m:ctrlPr>
                      </m:radPr>
                      <m:deg/>
                      <m:e>
                        <m:acc>
                          <m:accPr>
                            <m:ctrlPr>
                              <w:rPr>
                                <w:rFonts w:ascii="Cambria Math" w:hAnsi="Cambria Math"/>
                              </w:rPr>
                            </m:ctrlPr>
                          </m:accPr>
                          <m:e>
                            <m:r>
                              <w:rPr>
                                <w:rFonts w:ascii="Cambria Math" w:hAnsi="Cambria Math"/>
                              </w:rPr>
                              <m:t>var</m:t>
                            </m:r>
                          </m:e>
                        </m:acc>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τ</m:t>
                                    </m:r>
                                  </m:e>
                                </m:d>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τ</m:t>
                                    </m:r>
                                  </m:e>
                                </m:d>
                              </m:den>
                            </m:f>
                            <m:r>
                              <m:rPr>
                                <m:sty m:val="p"/>
                              </m:rPr>
                              <w:rPr>
                                <w:rFonts w:ascii="Cambria Math" w:hAnsi="Cambria Math"/>
                              </w:rPr>
                              <m:t>-</m:t>
                            </m:r>
                            <m:r>
                              <w:rPr>
                                <w:rFonts w:ascii="Cambria Math" w:hAnsi="Cambria Math"/>
                              </w:rPr>
                              <m:t>1</m:t>
                            </m:r>
                          </m:e>
                        </m:d>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Δt</m:t>
                            </m:r>
                          </m:den>
                        </m:f>
                      </m:e>
                    </m:rad>
                  </m:e>
                </m:mr>
                <m:mr>
                  <m:e>
                    <m:acc>
                      <m:accPr>
                        <m:ctrlPr>
                          <w:rPr>
                            <w:rFonts w:ascii="Cambria Math" w:hAnsi="Cambria Math"/>
                          </w:rPr>
                        </m:ctrlPr>
                      </m:accPr>
                      <m:e>
                        <m:r>
                          <w:rPr>
                            <w:rFonts w:ascii="Cambria Math" w:hAnsi="Cambria Math"/>
                          </w:rPr>
                          <m:t>Σ</m:t>
                        </m:r>
                      </m:e>
                    </m:acc>
                    <m:d>
                      <m:dPr>
                        <m:ctrlPr>
                          <w:rPr>
                            <w:rFonts w:ascii="Cambria Math" w:hAnsi="Cambria Math"/>
                          </w:rPr>
                        </m:ctrlPr>
                      </m:dPr>
                      <m:e>
                        <m:r>
                          <w:rPr>
                            <w:rFonts w:ascii="Cambria Math" w:hAnsi="Cambria Math"/>
                          </w:rPr>
                          <m:t>τ</m:t>
                        </m:r>
                      </m:e>
                    </m:d>
                  </m:e>
                  <m:e>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σ</m:t>
                            </m:r>
                          </m:e>
                        </m:acc>
                      </m:num>
                      <m:den>
                        <m:acc>
                          <m:accPr>
                            <m:ctrlPr>
                              <w:rPr>
                                <w:rFonts w:ascii="Cambria Math" w:hAnsi="Cambria Math"/>
                              </w:rPr>
                            </m:ctrlPr>
                          </m:accPr>
                          <m:e>
                            <m:r>
                              <w:rPr>
                                <w:rFonts w:ascii="Cambria Math" w:hAnsi="Cambria Math"/>
                              </w:rPr>
                              <m:t>a</m:t>
                            </m:r>
                          </m:e>
                        </m:acc>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τ</m:t>
                            </m:r>
                          </m:sup>
                        </m:sSup>
                      </m:e>
                    </m:d>
                  </m:e>
                </m:mr>
                <m:mr>
                  <m:e/>
                  <m:e/>
                </m:mr>
              </m:m>
            </m:e>
          </m:d>
          <m:r>
            <w:rPr>
              <w:rFonts w:ascii="Cambria Math" w:hAnsi="Cambria Math"/>
            </w:rPr>
            <m:t>  </m:t>
          </m:r>
          <m:d>
            <m:dPr>
              <m:ctrlPr>
                <w:rPr>
                  <w:rFonts w:ascii="Cambria Math" w:hAnsi="Cambria Math"/>
                </w:rPr>
              </m:ctrlPr>
            </m:dPr>
            <m:e>
              <m:r>
                <w:rPr>
                  <w:rFonts w:ascii="Cambria Math" w:hAnsi="Cambria Math"/>
                </w:rPr>
                <m:t>13</m:t>
              </m:r>
            </m:e>
          </m:d>
        </m:oMath>
      </m:oMathPara>
      <w:bookmarkEnd w:id="19"/>
    </w:p>
    <w:p w14:paraId="75636FF1" w14:textId="77777777" w:rsidR="00690B16" w:rsidRDefault="00986D3D">
      <w:pPr>
        <w:pStyle w:val="FirstParagraph"/>
      </w:pPr>
      <w:r>
        <w:t xml:space="preserve">en donde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oMath>
      <w:r>
        <w:t xml:space="preserve"> es cada plazo que se mantiene fijo a la hora de estimar </w:t>
      </w:r>
      <m:oMath>
        <m:acc>
          <m:accPr>
            <m:ctrlPr>
              <w:rPr>
                <w:rFonts w:ascii="Cambria Math" w:hAnsi="Cambria Math"/>
              </w:rPr>
            </m:ctrlPr>
          </m:accPr>
          <m:e>
            <m:r>
              <w:rPr>
                <w:rFonts w:ascii="Cambria Math" w:hAnsi="Cambria Math"/>
              </w:rPr>
              <m:t>Σ</m:t>
            </m:r>
          </m:e>
        </m:acc>
      </m:oMath>
      <w:r>
        <w:t>.</w:t>
      </w:r>
    </w:p>
    <w:p w14:paraId="02CA5F4D" w14:textId="77777777" w:rsidR="00690B16" w:rsidRDefault="00986D3D">
      <w:pPr>
        <w:pStyle w:val="Textoindependiente"/>
      </w:pPr>
      <w:r>
        <w:t xml:space="preserve">Para distintos plazos </w:t>
      </w:r>
      <m:oMath>
        <m:r>
          <m:rPr>
            <m:scr m:val="script"/>
            <m:sty m:val="p"/>
          </m:rP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n</m:t>
            </m:r>
          </m:sub>
        </m:sSub>
        <m:r>
          <m:rPr>
            <m:sty m:val="p"/>
          </m:rPr>
          <w:rPr>
            <w:rFonts w:ascii="Cambria Math" w:hAnsi="Cambria Math"/>
          </w:rPr>
          <m:t>}</m:t>
        </m:r>
      </m:oMath>
      <w:r>
        <w:t xml:space="preserve"> </w:t>
      </w:r>
      <w:r>
        <w:t xml:space="preserve">se pueden obtener las correspondientes estimaciones anualizadas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k</m:t>
            </m:r>
          </m:sub>
        </m:sSub>
      </m:oMath>
      <w:r>
        <w:t xml:space="preserve"> de la volatilidad del factor de descuento correspondiente, por lo que (</w:t>
      </w:r>
      <w:hyperlink w:anchor="eq-HW1FHistoricalEstimator">
        <w:r>
          <w:rPr>
            <w:rStyle w:val="Hipervnculo"/>
          </w:rPr>
          <w:t>Equation 13</w:t>
        </w:r>
      </w:hyperlink>
      <w:r>
        <w:t>) se puede resolver por cualquier técnica de optimizació</w:t>
      </w:r>
      <w:r>
        <w:t>n no lineal.</w:t>
      </w:r>
    </w:p>
    <w:p w14:paraId="28B6AC12" w14:textId="77777777" w:rsidR="00690B16" w:rsidRDefault="00986D3D">
      <w:pPr>
        <w:pStyle w:val="Textoindependiente"/>
      </w:pPr>
      <w:r>
        <w:t>Así pues, la calibración histórica del modelo se aborda utilizando mínimos cuadrados ordinarios</w:t>
      </w:r>
    </w:p>
    <w:p w14:paraId="02F3F0A2" w14:textId="77777777" w:rsidR="00690B16" w:rsidRDefault="00986D3D">
      <w:pPr>
        <w:pStyle w:val="Textoindependiente"/>
      </w:pPr>
      <m:oMathPara>
        <m:oMathParaPr>
          <m:jc m:val="center"/>
        </m:oMathParaPr>
        <m:oMath>
          <m:d>
            <m:dPr>
              <m:ctrlPr>
                <w:rPr>
                  <w:rFonts w:ascii="Cambria Math" w:hAnsi="Cambria Math"/>
                </w:rPr>
              </m:ctrlPr>
            </m:dPr>
            <m:e>
              <m:acc>
                <m:accPr>
                  <m:ctrlPr>
                    <w:rPr>
                      <w:rFonts w:ascii="Cambria Math" w:hAnsi="Cambria Math"/>
                    </w:rPr>
                  </m:ctrlPr>
                </m:accPr>
                <m:e>
                  <m:r>
                    <w:rPr>
                      <w:rFonts w:ascii="Cambria Math" w:hAnsi="Cambria Math"/>
                    </w:rPr>
                    <m:t>σ</m:t>
                  </m:r>
                </m:e>
              </m:acc>
              <m:r>
                <m:rPr>
                  <m:sty m:val="p"/>
                </m:rPr>
                <w:rPr>
                  <w:rFonts w:ascii="Cambria Math" w:hAnsi="Cambria Math"/>
                </w:rPr>
                <m:t>,</m:t>
              </m:r>
              <m:acc>
                <m:accPr>
                  <m:ctrlPr>
                    <w:rPr>
                      <w:rFonts w:ascii="Cambria Math" w:hAnsi="Cambria Math"/>
                    </w:rPr>
                  </m:ctrlPr>
                </m:accPr>
                <m:e>
                  <m:r>
                    <w:rPr>
                      <w:rFonts w:ascii="Cambria Math" w:hAnsi="Cambria Math"/>
                    </w:rPr>
                    <m:t>a</m:t>
                  </m:r>
                </m:e>
              </m:acc>
            </m:e>
          </m:d>
          <m:r>
            <m:rPr>
              <m:sty m:val="p"/>
            </m:rPr>
            <w:rPr>
              <w:rFonts w:ascii="Cambria Math" w:hAnsi="Cambria Math"/>
            </w:rPr>
            <m:t>=arg</m:t>
          </m:r>
          <m:r>
            <w:rPr>
              <w:rFonts w:ascii="Cambria Math" w:hAnsi="Cambria Math"/>
            </w:rPr>
            <m:t> </m:t>
          </m:r>
          <m:r>
            <m:rPr>
              <m:sty m:val="p"/>
            </m:rPr>
            <w:rPr>
              <w:rFonts w:ascii="Cambria Math" w:hAnsi="Cambria Math"/>
            </w:rPr>
            <m:t>min</m:t>
          </m:r>
          <m:r>
            <w:rPr>
              <w:rFonts w:ascii="Cambria Math" w:hAnsi="Cambria Math"/>
            </w:rPr>
            <m:t> </m:t>
          </m:r>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a</m:t>
                  </m:r>
                </m:e>
              </m:d>
            </m:e>
          </m:d>
        </m:oMath>
      </m:oMathPara>
    </w:p>
    <w:p w14:paraId="636322E8" w14:textId="77777777" w:rsidR="00690B16" w:rsidRDefault="00986D3D">
      <w:pPr>
        <w:pStyle w:val="FirstParagraph"/>
      </w:pPr>
      <w:r>
        <w:t xml:space="preserve">donde la función de pérdidas </w:t>
      </w:r>
      <m:oMath>
        <m:r>
          <w:rPr>
            <w:rFonts w:ascii="Cambria Math" w:hAnsi="Cambria Math"/>
          </w:rPr>
          <m:t>l</m:t>
        </m:r>
      </m:oMath>
      <w:r>
        <w:t xml:space="preserve"> se define como</w:t>
      </w:r>
    </w:p>
    <w:p w14:paraId="6D3F16FE" w14:textId="77777777" w:rsidR="00690B16" w:rsidRDefault="00986D3D">
      <w:pPr>
        <w:pStyle w:val="Textoindependiente"/>
      </w:pPr>
      <m:oMathPara>
        <m:oMathParaPr>
          <m:jc m:val="center"/>
        </m:oMathParaPr>
        <m:oMath>
          <m:borderBox>
            <m:borderBoxPr>
              <m:ctrlPr>
                <w:rPr>
                  <w:rFonts w:ascii="Cambria Math" w:hAnsi="Cambria Math"/>
                </w:rPr>
              </m:ctrlPr>
            </m:borderBoxPr>
            <m:e>
              <m:r>
                <w:rPr>
                  <w:rFonts w:ascii="Cambria Math" w:hAnsi="Cambria Math"/>
                </w:rPr>
                <m:t>l</m:t>
              </m:r>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Σ</m:t>
                              </m:r>
                            </m:e>
                          </m:acc>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σ</m:t>
                                  </m:r>
                                </m:e>
                              </m:acc>
                            </m:num>
                            <m:den>
                              <m:acc>
                                <m:accPr>
                                  <m:ctrlPr>
                                    <w:rPr>
                                      <w:rFonts w:ascii="Cambria Math" w:hAnsi="Cambria Math"/>
                                    </w:rPr>
                                  </m:ctrlPr>
                                </m:accPr>
                                <m:e>
                                  <m:r>
                                    <w:rPr>
                                      <w:rFonts w:ascii="Cambria Math" w:hAnsi="Cambria Math"/>
                                    </w:rPr>
                                    <m:t>a</m:t>
                                  </m:r>
                                </m:e>
                              </m:acc>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τ</m:t>
                                  </m:r>
                                </m:sup>
                              </m:sSup>
                            </m:e>
                          </m:d>
                        </m:e>
                      </m:d>
                    </m:e>
                    <m:sup>
                      <m:r>
                        <w:rPr>
                          <w:rFonts w:ascii="Cambria Math" w:hAnsi="Cambria Math"/>
                        </w:rPr>
                        <m:t>2</m:t>
                      </m:r>
                    </m:sup>
                  </m:sSup>
                </m:e>
              </m:nary>
            </m:e>
          </m:borderBox>
          <m:r>
            <w:rPr>
              <w:rFonts w:ascii="Cambria Math" w:hAnsi="Cambria Math"/>
            </w:rPr>
            <m:t> </m:t>
          </m:r>
          <m:r>
            <m:rPr>
              <m:sty m:val="p"/>
            </m:rPr>
            <w:rPr>
              <w:rFonts w:ascii="Cambria Math" w:hAnsi="Cambria Math"/>
            </w:rPr>
            <m:t>.</m:t>
          </m:r>
        </m:oMath>
      </m:oMathPara>
    </w:p>
    <w:p w14:paraId="2861F0A8" w14:textId="77777777" w:rsidR="00690B16" w:rsidRDefault="00986D3D">
      <w:pPr>
        <w:pStyle w:val="FirstParagraph"/>
      </w:pPr>
      <w:r>
        <w:lastRenderedPageBreak/>
        <w:t>Cabe reseñar que, si bien el cambio de med</w:t>
      </w:r>
      <w:r>
        <w:t xml:space="preserve">ida de probabilidad no afecta a la formalización aquí descrita de la metodología de estimación, de tal manera que los parámetros calibrados con datos históricos se utilizan como parámetros calibrantes del modelo formulado bajo la medida riesgo-neutral </w:t>
      </w:r>
      <m:oMath>
        <m:r>
          <m:rPr>
            <m:scr m:val="double-struck"/>
            <m:sty m:val="p"/>
          </m:rPr>
          <w:rPr>
            <w:rFonts w:ascii="Cambria Math" w:hAnsi="Cambria Math"/>
          </w:rPr>
          <m:t>Q</m:t>
        </m:r>
      </m:oMath>
      <w:r>
        <w:t xml:space="preserve"> co</w:t>
      </w:r>
      <w:r>
        <w:t>n la finalidad de calcular exposiciones y el CVA, éstos no permiten replicar el valor razonable de los derivados líquidos de tipos de interés observados a cierre diario.</w:t>
      </w:r>
    </w:p>
    <w:p w14:paraId="505A238A" w14:textId="77777777" w:rsidR="00690B16" w:rsidRDefault="00986D3D">
      <w:pPr>
        <w:pStyle w:val="Ttulo4"/>
      </w:pPr>
      <w:bookmarkStart w:id="20" w:name="correlaciones"/>
      <w:r>
        <w:t>Correlaciones</w:t>
      </w:r>
    </w:p>
    <w:p w14:paraId="2D123C0D" w14:textId="77777777" w:rsidR="00690B16" w:rsidRDefault="00986D3D">
      <w:pPr>
        <w:pStyle w:val="FirstParagraph"/>
      </w:pPr>
      <w:r>
        <w:t>En el caso más general, donde el producto de tipo de interés esté denomi</w:t>
      </w:r>
      <w:r>
        <w:t>nado en una moneda distinta a la base, las correlaciones</w:t>
      </w:r>
    </w:p>
    <w:p w14:paraId="2F968D2D" w14:textId="77777777" w:rsidR="00690B16" w:rsidRDefault="00986D3D">
      <w:pPr>
        <w:pStyle w:val="Textoindependiente"/>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d</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f</m:t>
              </m:r>
              <m:r>
                <m:rPr>
                  <m:sty m:val="p"/>
                </m:rPr>
                <w:rPr>
                  <w:rFonts w:ascii="Cambria Math" w:hAnsi="Cambria Math"/>
                </w:rPr>
                <m:t>,</m:t>
              </m:r>
              <m:r>
                <w:rPr>
                  <w:rFonts w:ascii="Cambria Math" w:hAnsi="Cambria Math"/>
                </w:rPr>
                <m:t>X</m:t>
              </m:r>
            </m:sub>
          </m:sSub>
        </m:oMath>
      </m:oMathPara>
    </w:p>
    <w:p w14:paraId="3DB2B1A4" w14:textId="77777777" w:rsidR="00690B16" w:rsidRDefault="00986D3D">
      <w:pPr>
        <w:pStyle w:val="FirstParagraph"/>
      </w:pPr>
      <w:r>
        <w:t>son necesarias para difundir los distintos factores de riesgo de una manera realista.</w:t>
      </w:r>
    </w:p>
    <w:p w14:paraId="0B55C68F" w14:textId="77777777" w:rsidR="00690B16" w:rsidRDefault="00986D3D">
      <w:pPr>
        <w:pStyle w:val="Textoindependiente"/>
      </w:pPr>
      <w:r>
        <w:t>La estimación de estas correlaciones se describe en documento de trabajo (**CITAR ok) “</w:t>
      </w:r>
      <w:r>
        <w:rPr>
          <w:i/>
          <w:iCs/>
        </w:rPr>
        <w:t>Modelos de Difusión para Instrumentos de Tipos de Cambio (FX)</w:t>
      </w:r>
      <w:r>
        <w:t>”.</w:t>
      </w:r>
    </w:p>
    <w:bookmarkEnd w:id="20"/>
    <w:bookmarkEnd w:id="14"/>
    <w:bookmarkEnd w:id="1"/>
    <w:sectPr w:rsidR="00690B16">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9BEAA" w14:textId="77777777" w:rsidR="00000000" w:rsidRDefault="00986D3D">
      <w:pPr>
        <w:spacing w:after="0"/>
      </w:pPr>
      <w:r>
        <w:separator/>
      </w:r>
    </w:p>
  </w:endnote>
  <w:endnote w:type="continuationSeparator" w:id="0">
    <w:p w14:paraId="1ED81260" w14:textId="77777777" w:rsidR="00000000" w:rsidRDefault="00986D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F1797" w14:textId="77777777" w:rsidR="00690B16" w:rsidRDefault="00986D3D">
      <w:r>
        <w:separator/>
      </w:r>
    </w:p>
  </w:footnote>
  <w:footnote w:type="continuationSeparator" w:id="0">
    <w:p w14:paraId="48F9389D" w14:textId="77777777" w:rsidR="00690B16" w:rsidRDefault="00986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100F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EFC59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32042384">
    <w:abstractNumId w:val="0"/>
  </w:num>
  <w:num w:numId="2" w16cid:durableId="666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16"/>
    <w:rsid w:val="00690B16"/>
    <w:rsid w:val="00986D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7654E"/>
  <w15:docId w15:val="{769806FE-2651-4AA5-943C-13E87830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1324</Words>
  <Characters>7287</Characters>
  <Application>Microsoft Office Word</Application>
  <DocSecurity>4</DocSecurity>
  <Lines>60</Lines>
  <Paragraphs>17</Paragraphs>
  <ScaleCrop>false</ScaleCrop>
  <Company>Grupo Caixabank</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de Difusión para Instrumentos de Tipo de Interés (IR)</dc:title>
  <dc:creator>LLUIS NAVARRO GIRBES</dc:creator>
  <cp:keywords/>
  <cp:lastModifiedBy>LLUIS NAVARRO GIRBES</cp:lastModifiedBy>
  <cp:revision>2</cp:revision>
  <dcterms:created xsi:type="dcterms:W3CDTF">2024-05-09T06:50:00Z</dcterms:created>
  <dcterms:modified xsi:type="dcterms:W3CDTF">2024-05-09T06:50:00Z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MSIP_Label_c2c11c9e-624c-4a75-9f78-0989052ff6ea_Enabled">
    <vt:lpwstr>true</vt:lpwstr>
  </property>
  <property fmtid="{D5CDD505-2E9C-101B-9397-08002B2CF9AE}" pid="9" name="MSIP_Label_c2c11c9e-624c-4a75-9f78-0989052ff6ea_SetDate">
    <vt:lpwstr>2024-05-09T06:50:11Z</vt:lpwstr>
  </property>
  <property fmtid="{D5CDD505-2E9C-101B-9397-08002B2CF9AE}" pid="10" name="MSIP_Label_c2c11c9e-624c-4a75-9f78-0989052ff6ea_Method">
    <vt:lpwstr>Standard</vt:lpwstr>
  </property>
  <property fmtid="{D5CDD505-2E9C-101B-9397-08002B2CF9AE}" pid="11" name="MSIP_Label_c2c11c9e-624c-4a75-9f78-0989052ff6ea_Name">
    <vt:lpwstr>c2c11c9e-624c-4a75-9f78-0989052ff6ea</vt:lpwstr>
  </property>
  <property fmtid="{D5CDD505-2E9C-101B-9397-08002B2CF9AE}" pid="12" name="MSIP_Label_c2c11c9e-624c-4a75-9f78-0989052ff6ea_SiteId">
    <vt:lpwstr>5df31d35-3ba9-481e-a3c8-ff9be3ee783b</vt:lpwstr>
  </property>
  <property fmtid="{D5CDD505-2E9C-101B-9397-08002B2CF9AE}" pid="13" name="MSIP_Label_c2c11c9e-624c-4a75-9f78-0989052ff6ea_ActionId">
    <vt:lpwstr>46cb0490-5a44-4715-91bb-113ac90503e2</vt:lpwstr>
  </property>
  <property fmtid="{D5CDD505-2E9C-101B-9397-08002B2CF9AE}" pid="14" name="MSIP_Label_c2c11c9e-624c-4a75-9f78-0989052ff6ea_ContentBits">
    <vt:lpwstr>0</vt:lpwstr>
  </property>
</Properties>
</file>