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42DD6" w14:textId="77777777" w:rsidR="00AE5881" w:rsidRPr="00807030" w:rsidRDefault="00807030">
      <w:pPr>
        <w:pStyle w:val="Ttulo"/>
        <w:rPr>
          <w:lang w:val="es-ES"/>
        </w:rPr>
      </w:pPr>
      <w:r w:rsidRPr="00807030">
        <w:rPr>
          <w:lang w:val="es-ES"/>
        </w:rPr>
        <w:t>Modelos de Difusión para Instrumentos de Materias Primas (COMM)</w:t>
      </w:r>
    </w:p>
    <w:p w14:paraId="468F27A9" w14:textId="77777777" w:rsidR="00AE5881" w:rsidRPr="00807030" w:rsidRDefault="00807030">
      <w:pPr>
        <w:pStyle w:val="Ttulo1"/>
        <w:rPr>
          <w:lang w:val="es-ES"/>
        </w:rPr>
      </w:pPr>
      <w:bookmarkStart w:id="0" w:name="introducción"/>
      <w:r w:rsidRPr="00807030">
        <w:rPr>
          <w:lang w:val="es-ES"/>
        </w:rPr>
        <w:t>Introducción</w:t>
      </w:r>
    </w:p>
    <w:p w14:paraId="7CF14BB8" w14:textId="77777777" w:rsidR="00AE5881" w:rsidRPr="00807030" w:rsidRDefault="00807030">
      <w:pPr>
        <w:pStyle w:val="FirstParagraph"/>
        <w:rPr>
          <w:lang w:val="es-ES"/>
        </w:rPr>
      </w:pPr>
      <w:r w:rsidRPr="00807030">
        <w:rPr>
          <w:lang w:val="es-ES"/>
        </w:rPr>
        <w:t>El cálculo de la exposición de un derivado sobre materias primas (COMM) depende fundamentalmente de dos factores de riesgo, el precio de la materia prima y el tipo de cambio entre las divisas presentes en el derivado.</w:t>
      </w:r>
    </w:p>
    <w:p w14:paraId="4FF2BD11" w14:textId="77777777" w:rsidR="00AE5881" w:rsidRPr="00807030" w:rsidRDefault="00807030">
      <w:pPr>
        <w:pStyle w:val="Textoindependiente"/>
        <w:rPr>
          <w:lang w:val="es-ES"/>
        </w:rPr>
      </w:pPr>
      <w:r w:rsidRPr="00807030">
        <w:rPr>
          <w:lang w:val="es-ES"/>
        </w:rPr>
        <w:t>El primero es relevante pues determina</w:t>
      </w:r>
      <w:r w:rsidRPr="00807030">
        <w:rPr>
          <w:lang w:val="es-ES"/>
        </w:rPr>
        <w:t>rá en gran parte el valor de la liquidación de un derivado. El segundo también lo es, dado que la divisa (FX) en la que cotiza la materia prima, la divisa del nivel del strike y la divisa en la que liquida el derivado pueden no coincidir. El tipo de cambio</w:t>
      </w:r>
      <w:r w:rsidRPr="00807030">
        <w:rPr>
          <w:lang w:val="es-ES"/>
        </w:rPr>
        <w:t xml:space="preserve"> puede hacer que el valor de una liquidación futura cambie significativamente, con lo que tiene un papel relevante en la estimación del valor futuro del derivado.</w:t>
      </w:r>
    </w:p>
    <w:p w14:paraId="2E4C0C52" w14:textId="77777777" w:rsidR="00AE5881" w:rsidRPr="00807030" w:rsidRDefault="00807030">
      <w:pPr>
        <w:pStyle w:val="Textoindependiente"/>
        <w:rPr>
          <w:lang w:val="es-ES"/>
        </w:rPr>
      </w:pPr>
      <w:r w:rsidRPr="00807030">
        <w:rPr>
          <w:lang w:val="es-ES"/>
        </w:rPr>
        <w:t>Los tipos de interés intervienen de dos maneras distintas en la valoración:</w:t>
      </w:r>
    </w:p>
    <w:p w14:paraId="368162C8" w14:textId="77777777" w:rsidR="00AE5881" w:rsidRPr="00807030" w:rsidRDefault="00807030">
      <w:pPr>
        <w:numPr>
          <w:ilvl w:val="0"/>
          <w:numId w:val="2"/>
        </w:numPr>
        <w:rPr>
          <w:lang w:val="es-ES"/>
        </w:rPr>
      </w:pPr>
      <w:r w:rsidRPr="00807030">
        <w:rPr>
          <w:lang w:val="es-ES"/>
        </w:rPr>
        <w:t>En primer lugar d</w:t>
      </w:r>
      <w:r w:rsidRPr="00807030">
        <w:rPr>
          <w:lang w:val="es-ES"/>
        </w:rPr>
        <w:t>eterminan los factores de descuento con los que se descontará los flujos futuros de liquidación, adecuándolos a la divisa de liquidación correspondiente.</w:t>
      </w:r>
    </w:p>
    <w:p w14:paraId="1CB766F4" w14:textId="77777777" w:rsidR="00AE5881" w:rsidRPr="00807030" w:rsidRDefault="00807030">
      <w:pPr>
        <w:numPr>
          <w:ilvl w:val="0"/>
          <w:numId w:val="2"/>
        </w:numPr>
        <w:rPr>
          <w:lang w:val="es-ES"/>
        </w:rPr>
      </w:pPr>
      <w:r w:rsidRPr="00807030">
        <w:rPr>
          <w:lang w:val="es-ES"/>
        </w:rPr>
        <w:t>Asimismo, el diferencial de tipos de interés influye en el forward FX de cualquier fecha futura, por l</w:t>
      </w:r>
      <w:r w:rsidRPr="00807030">
        <w:rPr>
          <w:lang w:val="es-ES"/>
        </w:rPr>
        <w:t>o que influirá en la proyección de flujos en caso que la mercadería esté cotizada en una moneda distinta a la base.</w:t>
      </w:r>
    </w:p>
    <w:p w14:paraId="42F55F61" w14:textId="77777777" w:rsidR="00AE5881" w:rsidRPr="00807030" w:rsidRDefault="00807030">
      <w:pPr>
        <w:pStyle w:val="FirstParagraph"/>
        <w:rPr>
          <w:lang w:val="es-ES"/>
        </w:rPr>
      </w:pPr>
      <w:r w:rsidRPr="00807030">
        <w:rPr>
          <w:lang w:val="es-ES"/>
        </w:rPr>
        <w:t>Adicionalmente, como se ha recogido en la descripción del modelado mediante difusiones de intrumentos de FX, el tipo de interés está implíci</w:t>
      </w:r>
      <w:r w:rsidRPr="00807030">
        <w:rPr>
          <w:lang w:val="es-ES"/>
        </w:rPr>
        <w:t>to en la simulación del tipo de cambio. Sin embargo, en este contexto no se considerará un factor de riesgo significativo debido a que, a la práctica, el valor de la liquidación dependerá únicamente del tipo de cambio y el precio de la materia prima. Más a</w:t>
      </w:r>
      <w:r w:rsidRPr="00807030">
        <w:rPr>
          <w:lang w:val="es-ES"/>
        </w:rPr>
        <w:t>ún, los tipos de interés tienen un riesgo de orden muy inferior a los factores mencionados.</w:t>
      </w:r>
    </w:p>
    <w:p w14:paraId="5A58E3AE" w14:textId="77777777" w:rsidR="00AE5881" w:rsidRPr="00807030" w:rsidRDefault="00807030">
      <w:pPr>
        <w:pStyle w:val="Textoindependiente"/>
        <w:rPr>
          <w:lang w:val="es-ES"/>
        </w:rPr>
      </w:pPr>
      <w:r w:rsidRPr="00807030">
        <w:rPr>
          <w:lang w:val="es-ES"/>
        </w:rPr>
        <w:t>Por esta razón, no se ha considerado necesario recoger este factor en la modelización de la exposición crediticia.</w:t>
      </w:r>
    </w:p>
    <w:p w14:paraId="1F236314" w14:textId="77777777" w:rsidR="00AE5881" w:rsidRPr="00807030" w:rsidRDefault="00807030">
      <w:pPr>
        <w:pStyle w:val="Ttulo1"/>
        <w:rPr>
          <w:lang w:val="es-ES"/>
        </w:rPr>
      </w:pPr>
      <w:bookmarkStart w:id="1" w:name="Xd6d81e908416ebfc94030bc937390b288426677"/>
      <w:bookmarkEnd w:id="0"/>
      <w:r w:rsidRPr="00807030">
        <w:rPr>
          <w:lang w:val="es-ES"/>
        </w:rPr>
        <w:t>Modelo de Difusión para Exposiciones y CVA</w:t>
      </w:r>
    </w:p>
    <w:p w14:paraId="2B9CBA14" w14:textId="77777777" w:rsidR="00AE5881" w:rsidRPr="00807030" w:rsidRDefault="00807030">
      <w:pPr>
        <w:pStyle w:val="FirstParagraph"/>
        <w:rPr>
          <w:lang w:val="es-ES"/>
        </w:rPr>
      </w:pPr>
      <w:r w:rsidRPr="00807030">
        <w:rPr>
          <w:lang w:val="es-ES"/>
        </w:rPr>
        <w:t>Adapti</w:t>
      </w:r>
      <w:r w:rsidRPr="00807030">
        <w:rPr>
          <w:lang w:val="es-ES"/>
        </w:rPr>
        <w:t xml:space="preserve">v Analytics (AA) modela la cotización futura del precio </w:t>
      </w:r>
      <w:r w:rsidRPr="00807030">
        <w:rPr>
          <w:i/>
          <w:iCs/>
          <w:lang w:val="es-ES"/>
        </w:rPr>
        <w:t>spot</w:t>
      </w:r>
      <w:r w:rsidRPr="00807030">
        <w:rPr>
          <w:lang w:val="es-ES"/>
        </w:rPr>
        <w:t xml:space="preserve"> de la materia prima, </w:t>
      </w:r>
      <m:oMath>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xml:space="preserve">, partiendo de la evolución estocástica de la curva </w:t>
      </w:r>
      <w:r w:rsidRPr="00807030">
        <w:rPr>
          <w:i/>
          <w:iCs/>
          <w:lang w:val="es-ES"/>
        </w:rPr>
        <w:t>forward</w:t>
      </w:r>
      <w:r w:rsidRPr="00807030">
        <w:rPr>
          <w:lang w:val="es-ES"/>
        </w:rPr>
        <w:t xml:space="preserve"> asociada a ésta, </w:t>
      </w: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807030">
        <w:rPr>
          <w:lang w:val="es-ES"/>
        </w:rPr>
        <w:t xml:space="preserve"> tal y como proponen Clewlow y Strickland (</w:t>
      </w:r>
      <w:r w:rsidRPr="00807030">
        <w:rPr>
          <w:b/>
          <w:bCs/>
          <w:lang w:val="es-ES"/>
        </w:rPr>
        <w:t>CITAR paper CS1F</w:t>
      </w:r>
      <w:r w:rsidRPr="00807030">
        <w:rPr>
          <w:lang w:val="es-ES"/>
        </w:rPr>
        <w:t>) en su formulación para un</w:t>
      </w:r>
      <w:r w:rsidRPr="00807030">
        <w:rPr>
          <w:lang w:val="es-ES"/>
        </w:rPr>
        <w:t xml:space="preserve"> factor la cual denotaremos por </w:t>
      </w:r>
      <w:r w:rsidRPr="00807030">
        <w:rPr>
          <w:i/>
          <w:iCs/>
          <w:lang w:val="es-ES"/>
        </w:rPr>
        <w:t>CS1F</w:t>
      </w:r>
      <w:r w:rsidRPr="00807030">
        <w:rPr>
          <w:lang w:val="es-ES"/>
        </w:rPr>
        <w:t>.</w:t>
      </w:r>
    </w:p>
    <w:p w14:paraId="369B5381" w14:textId="77777777" w:rsidR="00AE5881" w:rsidRPr="00807030" w:rsidRDefault="00807030">
      <w:pPr>
        <w:pStyle w:val="Textoindependiente"/>
        <w:rPr>
          <w:lang w:val="es-ES"/>
        </w:rPr>
      </w:pPr>
      <w:r w:rsidRPr="00807030">
        <w:rPr>
          <w:lang w:val="es-ES"/>
        </w:rPr>
        <w:lastRenderedPageBreak/>
        <w:t>Dado que los precios forward no requieren inversión inicial, en un mundo neutral al riesgo la expectativa en el crecimiento de su precio debe ser nula, por lo que:</w:t>
      </w:r>
    </w:p>
    <w:bookmarkStart w:id="2" w:name="eq-COMM_EUR"/>
    <w:p w14:paraId="7FDF4537" w14:textId="77777777" w:rsidR="00AE5881" w:rsidRDefault="00807030">
      <w:pPr>
        <w:pStyle w:val="Textoindependiente"/>
      </w:pPr>
      <m:oMathPara>
        <m:oMathParaPr>
          <m:jc m:val="center"/>
        </m:oMathParaPr>
        <m:oMath>
          <m:f>
            <m:fPr>
              <m:ctrlPr>
                <w:rPr>
                  <w:rFonts w:ascii="Cambria Math" w:hAnsi="Cambria Math"/>
                </w:rPr>
              </m:ctrlPr>
            </m:fPr>
            <m:num>
              <m:r>
                <w:rPr>
                  <w:rFonts w:ascii="Cambria Math" w:hAnsi="Cambria Math"/>
                </w:rPr>
                <m:t>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en>
          </m:f>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w:rPr>
              <w:rFonts w:ascii="Cambria Math" w:hAnsi="Cambria Math"/>
            </w:rPr>
            <m:t> </m:t>
          </m:r>
          <m:r>
            <w:rPr>
              <w:rFonts w:ascii="Cambria Math" w:hAnsi="Cambria Math"/>
            </w:rPr>
            <m:t>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Q</m:t>
              </m:r>
            </m:sup>
          </m:sSup>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1</m:t>
              </m:r>
            </m:e>
          </m:d>
        </m:oMath>
      </m:oMathPara>
      <w:bookmarkEnd w:id="2"/>
    </w:p>
    <w:p w14:paraId="336F4884" w14:textId="77777777" w:rsidR="00AE5881" w:rsidRPr="00807030" w:rsidRDefault="00807030">
      <w:pPr>
        <w:pStyle w:val="FirstParagraph"/>
        <w:rPr>
          <w:lang w:val="es-ES"/>
        </w:rPr>
      </w:pPr>
      <w:r w:rsidRPr="00807030">
        <w:rPr>
          <w:lang w:val="es-ES"/>
        </w:rPr>
        <w:t xml:space="preserve">Además, el modelo </w:t>
      </w:r>
      <w:r w:rsidRPr="00807030">
        <w:rPr>
          <w:i/>
          <w:iCs/>
          <w:lang w:val="es-ES"/>
        </w:rPr>
        <w:t>CS1F</w:t>
      </w:r>
      <w:r w:rsidRPr="00807030">
        <w:rPr>
          <w:lang w:val="es-ES"/>
        </w:rPr>
        <w:t xml:space="preserve"> adopta una estructura temporal de volatilidades forward exponencial y separable que, como ocurre en el entorno Heath-Jarrow-Morton para modelos de tipos de interés para ciertas estructuras de volatilidad particulares con ciertas propiedades, conduce a</w:t>
      </w:r>
      <w:r w:rsidRPr="00807030">
        <w:rPr>
          <w:lang w:val="es-ES"/>
        </w:rPr>
        <w:t xml:space="preserve"> modelos del spot de la materia prima de tipo markoviano lo que, a su vez, permite el desarrollo de implementaciones numéricas eficientes.</w:t>
      </w:r>
    </w:p>
    <w:p w14:paraId="4F3DBB68" w14:textId="77777777" w:rsidR="00AE5881" w:rsidRPr="00807030" w:rsidRDefault="00807030">
      <w:pPr>
        <w:pStyle w:val="Textoindependiente"/>
        <w:rPr>
          <w:lang w:val="es-ES"/>
        </w:rPr>
      </w:pPr>
      <w:r w:rsidRPr="00807030">
        <w:rPr>
          <w:lang w:val="es-ES"/>
        </w:rPr>
        <w:t>En particular, la estructura de volatilidades particular escogida en (</w:t>
      </w:r>
      <w:hyperlink w:anchor="eq-COMM_EUR">
        <w:r w:rsidRPr="00807030">
          <w:rPr>
            <w:rStyle w:val="Hipervnculo"/>
            <w:lang w:val="es-ES"/>
          </w:rPr>
          <w:t>Equation 1</w:t>
        </w:r>
      </w:hyperlink>
      <w:r w:rsidRPr="00807030">
        <w:rPr>
          <w:lang w:val="es-ES"/>
        </w:rPr>
        <w:t>) p</w:t>
      </w:r>
      <w:r w:rsidRPr="00807030">
        <w:rPr>
          <w:lang w:val="es-ES"/>
        </w:rPr>
        <w:t xml:space="preserve">ara definir el modelo </w:t>
      </w:r>
      <w:r w:rsidRPr="00807030">
        <w:rPr>
          <w:i/>
          <w:iCs/>
          <w:lang w:val="es-ES"/>
        </w:rPr>
        <w:t>CS1F</w:t>
      </w:r>
      <w:r w:rsidRPr="00807030">
        <w:rPr>
          <w:lang w:val="es-ES"/>
        </w:rPr>
        <w:t xml:space="preserve"> para el precio spot es:</w:t>
      </w:r>
    </w:p>
    <w:p w14:paraId="0E4B5B40" w14:textId="77777777" w:rsidR="00AE5881" w:rsidRDefault="00807030">
      <w:pPr>
        <w:pStyle w:val="Textoindependiente"/>
      </w:pPr>
      <w:bookmarkStart w:id="3" w:name="eq-ETV_particular"/>
      <m:oMathPara>
        <m:oMathParaPr>
          <m:jc m:val="center"/>
        </m:oMathParaPr>
        <m:oMath>
          <m:r>
            <w:rPr>
              <w:rFonts w:ascii="Cambria Math" w:hAnsi="Cambria Math"/>
            </w:rPr>
            <m:t>σ</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3"/>
    </w:p>
    <w:p w14:paraId="7BF87140" w14:textId="77777777" w:rsidR="00AE5881" w:rsidRDefault="00807030">
      <w:pPr>
        <w:pStyle w:val="FirstParagraph"/>
      </w:pPr>
      <w:r w:rsidRPr="00807030">
        <w:rPr>
          <w:lang w:val="es-ES"/>
        </w:rPr>
        <w:t xml:space="preserve">Esta elección particular para la curva </w:t>
      </w:r>
      <w:r w:rsidRPr="00807030">
        <w:rPr>
          <w:i/>
          <w:iCs/>
          <w:lang w:val="es-ES"/>
        </w:rPr>
        <w:t>Forward</w:t>
      </w:r>
      <w:r w:rsidRPr="00807030">
        <w:rPr>
          <w:lang w:val="es-ES"/>
        </w:rPr>
        <w:t xml:space="preserve"> en su conjunto, implica una determinada difusión para el precio spot de la </w:t>
      </w:r>
      <w:r w:rsidRPr="00807030">
        <w:rPr>
          <w:i/>
          <w:iCs/>
          <w:lang w:val="es-ES"/>
        </w:rPr>
        <w:t>Commodity</w:t>
      </w:r>
      <w:r w:rsidRPr="00807030">
        <w:rPr>
          <w:lang w:val="es-ES"/>
        </w:rPr>
        <w:t xml:space="preserve"> dada por, véase (</w:t>
      </w:r>
      <w:r w:rsidRPr="00807030">
        <w:rPr>
          <w:b/>
          <w:bCs/>
          <w:lang w:val="es-ES"/>
        </w:rPr>
        <w:t xml:space="preserve">CITAR!! </w:t>
      </w:r>
      <w:r>
        <w:rPr>
          <w:b/>
          <w:bCs/>
        </w:rPr>
        <w:t>Apéndice A, paper CS1F</w:t>
      </w:r>
      <w:r>
        <w:t>):</w:t>
      </w:r>
    </w:p>
    <w:bookmarkStart w:id="4" w:name="eq-COMM_Spot_GOU"/>
    <w:p w14:paraId="051D9DA3" w14:textId="77777777" w:rsidR="00AE5881" w:rsidRDefault="00807030">
      <w:pPr>
        <w:pStyle w:val="Textoindependiente"/>
      </w:pPr>
      <m:oMathPara>
        <m:oMathParaPr>
          <m:jc m:val="center"/>
        </m:oMathParaPr>
        <m:oMath>
          <m:f>
            <m:fPr>
              <m:ctrlPr>
                <w:rPr>
                  <w:rFonts w:ascii="Cambria Math" w:hAnsi="Cambria Math"/>
                </w:rPr>
              </m:ctrlPr>
            </m:fPr>
            <m:num>
              <m:r>
                <w:rPr>
                  <w:rFonts w:ascii="Cambria Math" w:hAnsi="Cambria Math"/>
                </w:rPr>
                <m:t>dS</m:t>
              </m:r>
              <m:d>
                <m:dPr>
                  <m:ctrlPr>
                    <w:rPr>
                      <w:rFonts w:ascii="Cambria Math" w:hAnsi="Cambria Math"/>
                    </w:rPr>
                  </m:ctrlPr>
                </m:dPr>
                <m:e>
                  <m:r>
                    <w:rPr>
                      <w:rFonts w:ascii="Cambria Math" w:hAnsi="Cambria Math"/>
                    </w:rPr>
                    <m:t>t</m:t>
                  </m:r>
                </m:e>
              </m:d>
            </m:num>
            <m:den>
              <m:r>
                <w:rPr>
                  <w:rFonts w:ascii="Cambria Math" w:hAnsi="Cambria Math"/>
                </w:rPr>
                <m:t>S</m:t>
              </m:r>
              <m:d>
                <m:dPr>
                  <m:ctrlPr>
                    <w:rPr>
                      <w:rFonts w:ascii="Cambria Math" w:hAnsi="Cambria Math"/>
                    </w:rPr>
                  </m:ctrlPr>
                </m:dPr>
                <m:e>
                  <m:r>
                    <w:rPr>
                      <w:rFonts w:ascii="Cambria Math" w:hAnsi="Cambria Math"/>
                    </w:rPr>
                    <m:t>t</m:t>
                  </m:r>
                </m:e>
              </m:d>
            </m:den>
          </m:f>
          <m:r>
            <m:rPr>
              <m:sty m:val="p"/>
            </m:rPr>
            <w:rPr>
              <w:rFonts w:ascii="Cambria Math" w:hAnsi="Cambria Math"/>
            </w:rPr>
            <m:t>=</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t</m:t>
                  </m:r>
                </m:e>
              </m:d>
            </m:e>
          </m:d>
          <m:r>
            <w:rPr>
              <w:rFonts w:ascii="Cambria Math" w:hAnsi="Cambria Math"/>
            </w:rPr>
            <m:t>dt</m:t>
          </m:r>
          <m:r>
            <m:rPr>
              <m:sty m:val="p"/>
            </m:rPr>
            <w:rPr>
              <w:rFonts w:ascii="Cambria Math" w:hAnsi="Cambria Math"/>
            </w:rPr>
            <m:t>+</m:t>
          </m:r>
          <m:r>
            <w:rPr>
              <w:rFonts w:ascii="Cambria Math" w:hAnsi="Cambria Math"/>
            </w:rPr>
            <m:t>σ</m:t>
          </m:r>
          <m:r>
            <w:rPr>
              <w:rFonts w:ascii="Cambria Math" w:hAnsi="Cambria Math"/>
            </w:rPr>
            <m:t> </m:t>
          </m:r>
          <m:r>
            <w:rPr>
              <w:rFonts w:ascii="Cambria Math" w:hAnsi="Cambria Math"/>
            </w:rPr>
            <m:t>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Q</m:t>
              </m:r>
            </m:sup>
          </m:sSup>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3</m:t>
              </m:r>
            </m:e>
          </m:d>
        </m:oMath>
      </m:oMathPara>
      <w:bookmarkEnd w:id="4"/>
    </w:p>
    <w:p w14:paraId="5C353394" w14:textId="77777777" w:rsidR="00AE5881" w:rsidRDefault="00807030">
      <w:pPr>
        <w:pStyle w:val="FirstParagraph"/>
      </w:pPr>
      <w:r>
        <w:t xml:space="preserve">donde </w:t>
      </w:r>
      <m:oMath>
        <m:r>
          <w:rPr>
            <w:rFonts w:ascii="Cambria Math" w:hAnsi="Cambria Math"/>
          </w:rPr>
          <m:t>Φ</m:t>
        </m:r>
        <m:d>
          <m:dPr>
            <m:ctrlPr>
              <w:rPr>
                <w:rFonts w:ascii="Cambria Math" w:hAnsi="Cambria Math"/>
              </w:rPr>
            </m:ctrlPr>
          </m:dPr>
          <m:e>
            <m:r>
              <w:rPr>
                <w:rFonts w:ascii="Cambria Math" w:hAnsi="Cambria Math"/>
              </w:rPr>
              <m:t>t</m:t>
            </m:r>
          </m:e>
        </m:d>
      </m:oMath>
    </w:p>
    <w:p w14:paraId="0008ABE8" w14:textId="77777777" w:rsidR="00AE5881" w:rsidRDefault="00807030">
      <w:pPr>
        <w:pStyle w:val="Textoindependiente"/>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a</m:t>
          </m:r>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4</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w:rPr>
                      <w:rFonts w:ascii="Cambria Math" w:hAnsi="Cambria Math"/>
                    </w:rPr>
                    <m:t>at</m:t>
                  </m:r>
                </m:sup>
              </m:sSup>
            </m:e>
          </m:d>
        </m:oMath>
      </m:oMathPara>
    </w:p>
    <w:p w14:paraId="67B78F69" w14:textId="77777777" w:rsidR="00AE5881" w:rsidRPr="00807030" w:rsidRDefault="00807030">
      <w:pPr>
        <w:pStyle w:val="FirstParagraph"/>
        <w:rPr>
          <w:lang w:val="es-ES"/>
        </w:rPr>
      </w:pPr>
      <w:r w:rsidRPr="00807030">
        <w:rPr>
          <w:lang w:val="es-ES"/>
        </w:rPr>
        <w:t xml:space="preserve">Introduciendo el proceso estocástico auxiliar </w:t>
      </w: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lang w:val="es-ES"/>
          </w:rPr>
          <m:t>=log</m:t>
        </m:r>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xml:space="preserve"> </w:t>
      </w:r>
      <w:r w:rsidRPr="00807030">
        <w:rPr>
          <w:lang w:val="es-ES"/>
        </w:rPr>
        <w:t>y aplicando el lema de Îto se llega a una formulación alternativa para la evolución del precio spot dada en (</w:t>
      </w:r>
      <w:hyperlink w:anchor="eq-COMM_Spot_GOU">
        <w:r w:rsidRPr="00807030">
          <w:rPr>
            <w:rStyle w:val="Hipervnculo"/>
            <w:lang w:val="es-ES"/>
          </w:rPr>
          <w:t>Equation 3</w:t>
        </w:r>
      </w:hyperlink>
      <w:r w:rsidRPr="00807030">
        <w:rPr>
          <w:lang w:val="es-ES"/>
        </w:rPr>
        <w:t>)</w:t>
      </w:r>
    </w:p>
    <w:p w14:paraId="0805AED4" w14:textId="77777777" w:rsidR="00AE5881" w:rsidRDefault="00807030">
      <w:pPr>
        <w:pStyle w:val="Textoindependiente"/>
      </w:pPr>
      <w:bookmarkStart w:id="5" w:name="eq-COMM_Spot_GOU2"/>
      <m:oMathPara>
        <m:oMathParaPr>
          <m:jc m:val="center"/>
        </m:oMathParaPr>
        <m:oMath>
          <m:r>
            <w:rPr>
              <w:rFonts w:ascii="Cambria Math" w:hAnsi="Cambria Math"/>
            </w:rPr>
            <m:t>d</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t</m:t>
                  </m:r>
                </m:e>
              </m:d>
            </m:e>
          </m:d>
          <m:r>
            <w:rPr>
              <w:rFonts w:ascii="Cambria Math" w:hAnsi="Cambria Math"/>
            </w:rPr>
            <m:t>dt</m:t>
          </m:r>
          <m:r>
            <m:rPr>
              <m:sty m:val="p"/>
            </m:rPr>
            <w:rPr>
              <w:rFonts w:ascii="Cambria Math" w:hAnsi="Cambria Math"/>
            </w:rPr>
            <m:t>+</m:t>
          </m:r>
          <m:r>
            <w:rPr>
              <w:rFonts w:ascii="Cambria Math" w:hAnsi="Cambria Math"/>
            </w:rPr>
            <m:t>σ</m:t>
          </m:r>
          <m:r>
            <w:rPr>
              <w:rFonts w:ascii="Cambria Math" w:hAnsi="Cambria Math"/>
            </w:rPr>
            <m:t> </m:t>
          </m:r>
          <m:r>
            <w:rPr>
              <w:rFonts w:ascii="Cambria Math" w:hAnsi="Cambria Math"/>
            </w:rPr>
            <m:t>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Q</m:t>
              </m:r>
            </m:sup>
          </m:sSup>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5D10A98B" w14:textId="77777777" w:rsidR="00AE5881" w:rsidRPr="00807030" w:rsidRDefault="00807030">
      <w:pPr>
        <w:pStyle w:val="FirstParagraph"/>
        <w:rPr>
          <w:lang w:val="es-ES"/>
        </w:rPr>
      </w:pPr>
      <w:hyperlink w:anchor="eq-COMM_Spot_GOU2">
        <w:r w:rsidRPr="00807030">
          <w:rPr>
            <w:rStyle w:val="Hipervnculo"/>
            <w:lang w:val="es-ES"/>
          </w:rPr>
          <w:t>Equation 4</w:t>
        </w:r>
      </w:hyperlink>
      <w:r w:rsidRPr="00807030">
        <w:rPr>
          <w:lang w:val="es-ES"/>
        </w:rPr>
        <w:t xml:space="preserve"> </w:t>
      </w:r>
      <w:r w:rsidRPr="00807030">
        <w:rPr>
          <w:lang w:val="es-ES"/>
        </w:rPr>
        <w:t xml:space="preserve">muestra que el proceso del logaritmo del precio spot es de tipo Ornstein-Uhlenbeck (OU) o que, equivalentemente, el precio </w:t>
      </w:r>
      <m:oMath>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xml:space="preserve"> es del tipo geométrico OU (GOU).</w:t>
      </w:r>
    </w:p>
    <w:p w14:paraId="634531FB" w14:textId="77777777" w:rsidR="00AE5881" w:rsidRPr="00807030" w:rsidRDefault="00807030">
      <w:pPr>
        <w:pStyle w:val="Ttulo2"/>
        <w:rPr>
          <w:lang w:val="es-ES"/>
        </w:rPr>
      </w:pPr>
      <w:bookmarkStart w:id="6" w:name="implementación"/>
      <w:r w:rsidRPr="00807030">
        <w:rPr>
          <w:lang w:val="es-ES"/>
        </w:rPr>
        <w:t>Implementación</w:t>
      </w:r>
    </w:p>
    <w:p w14:paraId="709B4704" w14:textId="77777777" w:rsidR="00AE5881" w:rsidRPr="00807030" w:rsidRDefault="00807030">
      <w:pPr>
        <w:pStyle w:val="FirstParagraph"/>
        <w:rPr>
          <w:lang w:val="es-ES"/>
        </w:rPr>
      </w:pPr>
      <w:r w:rsidRPr="00807030">
        <w:rPr>
          <w:lang w:val="es-ES"/>
        </w:rPr>
        <w:t xml:space="preserve">A continuación se describe la implementación de </w:t>
      </w:r>
      <w:r w:rsidRPr="00807030">
        <w:rPr>
          <w:i/>
          <w:iCs/>
          <w:lang w:val="es-ES"/>
        </w:rPr>
        <w:t>Adaptiv Analytics</w:t>
      </w:r>
      <w:r w:rsidRPr="00807030">
        <w:rPr>
          <w:lang w:val="es-ES"/>
        </w:rPr>
        <w:t xml:space="preserve"> (AA) para el c</w:t>
      </w:r>
      <w:r w:rsidRPr="00807030">
        <w:rPr>
          <w:lang w:val="es-ES"/>
        </w:rPr>
        <w:t>álculo de Exposiciones y CVAs en el caso de instrumentos COMM.</w:t>
      </w:r>
    </w:p>
    <w:p w14:paraId="100066AF" w14:textId="77777777" w:rsidR="00AE5881" w:rsidRPr="00807030" w:rsidRDefault="00807030">
      <w:pPr>
        <w:pStyle w:val="Textoindependiente"/>
        <w:rPr>
          <w:lang w:val="es-ES"/>
        </w:rPr>
      </w:pPr>
      <w:r w:rsidRPr="00807030">
        <w:rPr>
          <w:lang w:val="es-ES"/>
        </w:rPr>
        <w:t xml:space="preserve">La expresión integral para </w:t>
      </w: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807030">
        <w:rPr>
          <w:lang w:val="es-ES"/>
        </w:rPr>
        <w:t xml:space="preserve"> que se deriva de (</w:t>
      </w:r>
      <w:hyperlink w:anchor="eq-COMM_EUR">
        <w:r w:rsidRPr="00807030">
          <w:rPr>
            <w:rStyle w:val="Hipervnculo"/>
            <w:lang w:val="es-ES"/>
          </w:rPr>
          <w:t>Equation 1</w:t>
        </w:r>
      </w:hyperlink>
      <w:r w:rsidRPr="00807030">
        <w:rPr>
          <w:lang w:val="es-ES"/>
        </w:rPr>
        <w:t>) es</w:t>
      </w:r>
    </w:p>
    <w:bookmarkStart w:id="7" w:name="eq-CS1F_AAImplementation"/>
    <w:p w14:paraId="7A6FEF5C" w14:textId="77777777" w:rsidR="00AE5881" w:rsidRDefault="00807030">
      <w:pPr>
        <w:pStyle w:val="Textoindependiente"/>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σ</m:t>
                            </m:r>
                          </m:e>
                          <m:sup>
                            <m:r>
                              <w:rPr>
                                <w:rFonts w:ascii="Cambria Math" w:hAnsi="Cambria Math"/>
                              </w:rPr>
                              <m:t>2</m:t>
                            </m:r>
                          </m:sup>
                        </m:sSup>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u</m:t>
                            </m:r>
                          </m:e>
                        </m:d>
                      </m:sup>
                    </m:sSup>
                    <m:r>
                      <w:rPr>
                        <w:rFonts w:ascii="Cambria Math" w:hAnsi="Cambria Math"/>
                      </w:rPr>
                      <m:t>du</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u</m:t>
                            </m:r>
                          </m:e>
                        </m:d>
                      </m:sup>
                    </m:sSup>
                    <m:r>
                      <w:rPr>
                        <w:rFonts w:ascii="Cambria Math" w:hAnsi="Cambria Math"/>
                      </w:rPr>
                      <m:t>dW</m:t>
                    </m:r>
                    <m:d>
                      <m:dPr>
                        <m:ctrlPr>
                          <w:rPr>
                            <w:rFonts w:ascii="Cambria Math" w:hAnsi="Cambria Math"/>
                          </w:rPr>
                        </m:ctrlPr>
                      </m:dPr>
                      <m:e>
                        <m:r>
                          <w:rPr>
                            <w:rFonts w:ascii="Cambria Math" w:hAnsi="Cambria Math"/>
                          </w:rPr>
                          <m:t>u</m:t>
                        </m:r>
                      </m:e>
                    </m:d>
                  </m:e>
                </m:d>
              </m:e>
            </m:mr>
            <m:mr>
              <m:e/>
              <m:e>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r>
                      <w:rPr>
                        <w:rFonts w:ascii="Cambria Math" w:hAnsi="Cambria Math"/>
                      </w:rPr>
                      <m:t>ν</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p>
                    </m:sSup>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 </m:t>
                </m:r>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5</m:t>
              </m:r>
            </m:e>
          </m:d>
        </m:oMath>
      </m:oMathPara>
      <w:bookmarkEnd w:id="7"/>
    </w:p>
    <w:p w14:paraId="333E8792" w14:textId="77777777" w:rsidR="00AE5881" w:rsidRPr="00807030" w:rsidRDefault="00807030">
      <w:pPr>
        <w:pStyle w:val="FirstParagraph"/>
        <w:rPr>
          <w:lang w:val="es-ES"/>
        </w:rPr>
      </w:pPr>
      <w:r w:rsidRPr="00807030">
        <w:rPr>
          <w:lang w:val="es-ES"/>
        </w:rPr>
        <w:t xml:space="preserve">donde </w:t>
      </w:r>
      <m:oMath>
        <m:r>
          <w:rPr>
            <w:rFonts w:ascii="Cambria Math" w:hAnsi="Cambria Math"/>
          </w:rPr>
          <m:t>Y</m:t>
        </m:r>
        <m:d>
          <m:dPr>
            <m:ctrlPr>
              <w:rPr>
                <w:rFonts w:ascii="Cambria Math" w:hAnsi="Cambria Math"/>
              </w:rPr>
            </m:ctrlPr>
          </m:dPr>
          <m:e>
            <m:r>
              <w:rPr>
                <w:rFonts w:ascii="Cambria Math" w:hAnsi="Cambria Math"/>
              </w:rPr>
              <m:t>t</m:t>
            </m:r>
          </m:e>
        </m:d>
      </m:oMath>
      <w:r w:rsidRPr="00807030">
        <w:rPr>
          <w:lang w:val="es-ES"/>
        </w:rPr>
        <w:t xml:space="preserve"> es un proceso OU estándar cuya velocidad de reversión a la media es </w:t>
      </w:r>
      <m:oMath>
        <m:r>
          <w:rPr>
            <w:rFonts w:ascii="Cambria Math" w:hAnsi="Cambria Math"/>
          </w:rPr>
          <m:t>a</m:t>
        </m:r>
      </m:oMath>
      <w:r w:rsidRPr="00807030">
        <w:rPr>
          <w:lang w:val="es-ES"/>
        </w:rPr>
        <w:t xml:space="preserve"> y </w:t>
      </w:r>
      <m:oMath>
        <m:r>
          <w:rPr>
            <w:rFonts w:ascii="Cambria Math" w:hAnsi="Cambria Math"/>
          </w:rPr>
          <m:t>ν</m:t>
        </m:r>
        <m:d>
          <m:dPr>
            <m:ctrlPr>
              <w:rPr>
                <w:rFonts w:ascii="Cambria Math" w:hAnsi="Cambria Math"/>
              </w:rPr>
            </m:ctrlPr>
          </m:dPr>
          <m:e>
            <m:r>
              <w:rPr>
                <w:rFonts w:ascii="Cambria Math" w:hAnsi="Cambria Math"/>
              </w:rPr>
              <m:t>t</m:t>
            </m:r>
          </m:e>
        </m:d>
      </m:oMath>
      <w:r w:rsidRPr="00807030">
        <w:rPr>
          <w:lang w:val="es-ES"/>
        </w:rPr>
        <w:t xml:space="preserve"> su varianza:</w:t>
      </w:r>
    </w:p>
    <w:p w14:paraId="00E3BC4B" w14:textId="77777777" w:rsidR="00AE5881" w:rsidRDefault="00807030">
      <w:pPr>
        <w:pStyle w:val="Textoindependiente"/>
      </w:pPr>
      <m:oMathPara>
        <m:oMathParaPr>
          <m:jc m:val="center"/>
        </m:oMathParaPr>
        <m:oMath>
          <m:r>
            <w:rPr>
              <w:rFonts w:ascii="Cambria Math" w:hAnsi="Cambria Math"/>
            </w:rPr>
            <m:t>ν</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w:rPr>
                      <w:rFonts w:ascii="Cambria Math" w:hAnsi="Cambria Math"/>
                    </w:rPr>
                    <m:t>at</m:t>
                  </m:r>
                </m:sup>
              </m:sSup>
            </m:num>
            <m:den>
              <m:r>
                <w:rPr>
                  <w:rFonts w:ascii="Cambria Math" w:hAnsi="Cambria Math"/>
                </w:rPr>
                <m:t>2</m:t>
              </m:r>
              <m:r>
                <w:rPr>
                  <w:rFonts w:ascii="Cambria Math" w:hAnsi="Cambria Math"/>
                </w:rPr>
                <m:t>a</m:t>
              </m:r>
            </m:den>
          </m:f>
          <m:r>
            <w:rPr>
              <w:rFonts w:ascii="Cambria Math" w:hAnsi="Cambria Math"/>
            </w:rPr>
            <m:t> </m:t>
          </m:r>
          <m:r>
            <m:rPr>
              <m:sty m:val="p"/>
            </m:rPr>
            <w:rPr>
              <w:rFonts w:ascii="Cambria Math" w:hAnsi="Cambria Math"/>
            </w:rPr>
            <m:t>.</m:t>
          </m:r>
        </m:oMath>
      </m:oMathPara>
    </w:p>
    <w:p w14:paraId="3BBB2AF7" w14:textId="77777777" w:rsidR="00AE5881" w:rsidRPr="00807030" w:rsidRDefault="00807030">
      <w:pPr>
        <w:pStyle w:val="FirstParagraph"/>
        <w:rPr>
          <w:lang w:val="es-ES"/>
        </w:rPr>
      </w:pPr>
      <w:r w:rsidRPr="00807030">
        <w:rPr>
          <w:lang w:val="es-ES"/>
        </w:rPr>
        <w:t xml:space="preserve">Particularizando </w:t>
      </w:r>
      <m:oMath>
        <m:r>
          <w:rPr>
            <w:rFonts w:ascii="Cambria Math" w:hAnsi="Cambria Math"/>
          </w:rPr>
          <m:t>t</m:t>
        </m:r>
        <m:r>
          <m:rPr>
            <m:sty m:val="p"/>
          </m:rPr>
          <w:rPr>
            <w:rFonts w:ascii="Cambria Math" w:hAnsi="Cambria Math"/>
            <w:lang w:val="es-ES"/>
          </w:rPr>
          <m:t>=</m:t>
        </m:r>
        <m:r>
          <w:rPr>
            <w:rFonts w:ascii="Cambria Math" w:hAnsi="Cambria Math"/>
          </w:rPr>
          <m:t>T</m:t>
        </m:r>
      </m:oMath>
      <w:r w:rsidRPr="00807030">
        <w:rPr>
          <w:lang w:val="es-ES"/>
        </w:rPr>
        <w:t xml:space="preserve">, se tiene una expresión operativa para difundir el precio spot </w:t>
      </w:r>
      <m:oMath>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a lo largo de todo el mallado definido en AA.</w:t>
      </w:r>
    </w:p>
    <w:p w14:paraId="166C1588" w14:textId="77777777" w:rsidR="00AE5881" w:rsidRDefault="00807030">
      <w:pPr>
        <w:pStyle w:val="Textoindependiente"/>
      </w:pPr>
      <w:bookmarkStart w:id="8" w:name="eq-CS1F_SpotDifussionForwardLooking"/>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ν</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σY</m:t>
              </m:r>
              <m:d>
                <m:dPr>
                  <m:ctrlPr>
                    <w:rPr>
                      <w:rFonts w:ascii="Cambria Math" w:hAnsi="Cambria Math"/>
                    </w:rPr>
                  </m:ctrlPr>
                </m:dPr>
                <m:e>
                  <m:r>
                    <w:rPr>
                      <w:rFonts w:ascii="Cambria Math" w:hAnsi="Cambria Math"/>
                    </w:rPr>
                    <m:t>t</m:t>
                  </m:r>
                </m:e>
              </m:d>
            </m:e>
          </m:d>
          <m:r>
            <w:rPr>
              <w:rFonts w:ascii="Cambria Math" w:hAnsi="Cambria Math"/>
            </w:rPr>
            <m:t>  </m:t>
          </m:r>
          <m:d>
            <m:dPr>
              <m:ctrlPr>
                <w:rPr>
                  <w:rFonts w:ascii="Cambria Math" w:hAnsi="Cambria Math"/>
                </w:rPr>
              </m:ctrlPr>
            </m:dPr>
            <m:e>
              <m:r>
                <w:rPr>
                  <w:rFonts w:ascii="Cambria Math" w:hAnsi="Cambria Math"/>
                </w:rPr>
                <m:t>6</m:t>
              </m:r>
            </m:e>
          </m:d>
        </m:oMath>
      </m:oMathPara>
      <w:bookmarkEnd w:id="8"/>
    </w:p>
    <w:p w14:paraId="4B82D281" w14:textId="77777777" w:rsidR="00AE5881" w:rsidRPr="00807030" w:rsidRDefault="00807030">
      <w:pPr>
        <w:pStyle w:val="FirstParagraph"/>
        <w:rPr>
          <w:lang w:val="es-ES"/>
        </w:rPr>
      </w:pPr>
      <w:r w:rsidRPr="00807030">
        <w:rPr>
          <w:lang w:val="es-ES"/>
        </w:rPr>
        <w:t xml:space="preserve">Además, basándose en la expresión anterior es inmediato ver que la distribución de </w:t>
      </w:r>
      <m:oMath>
        <m:r>
          <m:rPr>
            <m:sty m:val="p"/>
          </m:rPr>
          <w:rPr>
            <w:rFonts w:ascii="Cambria Math" w:hAnsi="Cambria Math"/>
            <w:lang w:val="es-ES"/>
          </w:rPr>
          <m:t>log</m:t>
        </m:r>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xml:space="preserve"> es gau</w:t>
      </w:r>
      <w:r w:rsidRPr="00807030">
        <w:rPr>
          <w:lang w:val="es-ES"/>
        </w:rPr>
        <w:t>ssiana:</w:t>
      </w:r>
    </w:p>
    <w:p w14:paraId="74D27F5E" w14:textId="77777777" w:rsidR="00AE5881" w:rsidRDefault="00807030">
      <w:pPr>
        <w:pStyle w:val="Textoindependiente"/>
      </w:pPr>
      <w:bookmarkStart w:id="9" w:name="eq-CS1F_TermSpotDistribution"/>
      <m:oMathPara>
        <m:oMathParaPr>
          <m:jc m:val="center"/>
        </m:oMathParaPr>
        <m:oMath>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ν</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ν</m:t>
              </m:r>
              <m:d>
                <m:dPr>
                  <m:ctrlPr>
                    <w:rPr>
                      <w:rFonts w:ascii="Cambria Math" w:hAnsi="Cambria Math"/>
                    </w:rPr>
                  </m:ctrlPr>
                </m:dPr>
                <m:e>
                  <m:r>
                    <w:rPr>
                      <w:rFonts w:ascii="Cambria Math" w:hAnsi="Cambria Math"/>
                    </w:rPr>
                    <m:t>t</m:t>
                  </m:r>
                </m:e>
              </m:d>
            </m:e>
          </m:d>
          <m:r>
            <w:rPr>
              <w:rFonts w:ascii="Cambria Math" w:hAnsi="Cambria Math"/>
            </w:rPr>
            <m:t>  </m:t>
          </m:r>
          <m:d>
            <m:dPr>
              <m:ctrlPr>
                <w:rPr>
                  <w:rFonts w:ascii="Cambria Math" w:hAnsi="Cambria Math"/>
                </w:rPr>
              </m:ctrlPr>
            </m:dPr>
            <m:e>
              <m:r>
                <w:rPr>
                  <w:rFonts w:ascii="Cambria Math" w:hAnsi="Cambria Math"/>
                </w:rPr>
                <m:t>7</m:t>
              </m:r>
            </m:e>
          </m:d>
        </m:oMath>
      </m:oMathPara>
      <w:bookmarkEnd w:id="9"/>
    </w:p>
    <w:p w14:paraId="4A6D378D" w14:textId="77777777" w:rsidR="00AE5881" w:rsidRPr="00807030" w:rsidRDefault="00807030">
      <w:pPr>
        <w:pStyle w:val="FirstParagraph"/>
        <w:rPr>
          <w:lang w:val="es-ES"/>
        </w:rPr>
      </w:pPr>
      <w:r w:rsidRPr="00807030">
        <w:rPr>
          <w:lang w:val="es-ES"/>
        </w:rPr>
        <w:t>Finalmente, como se recoge en (</w:t>
      </w:r>
      <w:r w:rsidRPr="00807030">
        <w:rPr>
          <w:b/>
          <w:bCs/>
          <w:lang w:val="es-ES"/>
        </w:rPr>
        <w:t>CITAR!!! Apéndice B, paper CS1F</w:t>
      </w:r>
      <w:r w:rsidRPr="00807030">
        <w:rPr>
          <w:lang w:val="es-ES"/>
        </w:rPr>
        <w:t xml:space="preserve">), habiendo difundido </w:t>
      </w:r>
      <m:oMath>
        <m:r>
          <w:rPr>
            <w:rFonts w:ascii="Cambria Math" w:hAnsi="Cambria Math"/>
          </w:rPr>
          <m:t>Y</m:t>
        </m:r>
        <m:d>
          <m:dPr>
            <m:ctrlPr>
              <w:rPr>
                <w:rFonts w:ascii="Cambria Math" w:hAnsi="Cambria Math"/>
              </w:rPr>
            </m:ctrlPr>
          </m:dPr>
          <m:e>
            <m:r>
              <w:rPr>
                <w:rFonts w:ascii="Cambria Math" w:hAnsi="Cambria Math"/>
              </w:rPr>
              <m:t>t</m:t>
            </m:r>
          </m:e>
        </m:d>
      </m:oMath>
      <w:r w:rsidRPr="00807030">
        <w:rPr>
          <w:lang w:val="es-ES"/>
        </w:rPr>
        <w:t xml:space="preserve"> o, equivalentemente, el precio spot </w:t>
      </w:r>
      <m:oMath>
        <m:r>
          <w:rPr>
            <w:rFonts w:ascii="Cambria Math" w:hAnsi="Cambria Math"/>
          </w:rPr>
          <m:t>S</m:t>
        </m:r>
        <m:d>
          <m:dPr>
            <m:ctrlPr>
              <w:rPr>
                <w:rFonts w:ascii="Cambria Math" w:hAnsi="Cambria Math"/>
              </w:rPr>
            </m:ctrlPr>
          </m:dPr>
          <m:e>
            <m:r>
              <w:rPr>
                <w:rFonts w:ascii="Cambria Math" w:hAnsi="Cambria Math"/>
              </w:rPr>
              <m:t>t</m:t>
            </m:r>
          </m:e>
        </m:d>
      </m:oMath>
      <w:r w:rsidRPr="00807030">
        <w:rPr>
          <w:lang w:val="es-ES"/>
        </w:rPr>
        <w:t xml:space="preserve"> </w:t>
      </w:r>
      <w:r w:rsidRPr="00807030">
        <w:rPr>
          <w:lang w:val="es-ES"/>
        </w:rPr>
        <w:t>hasta un instante concreto en el grid, existe una fórmula cerrada para la curva forward en cualquier instante futuro dada por:</w:t>
      </w:r>
    </w:p>
    <w:bookmarkStart w:id="10" w:name="eq-CS1F_SimulatedForwardCurve"/>
    <w:p w14:paraId="5AF9068B" w14:textId="77777777" w:rsidR="00AE5881" w:rsidRDefault="00807030">
      <w:pPr>
        <w:pStyle w:val="Textoindependiente"/>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den>
                        </m:f>
                      </m:e>
                    </m:d>
                  </m:e>
                  <m: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d>
                  </m:sup>
                </m:sSup>
                <m:r>
                  <m:rPr>
                    <m:sty m:val="p"/>
                  </m:rPr>
                  <w:rPr>
                    <w:rFonts w:ascii="Cambria Math" w:hAnsi="Cambria Math"/>
                  </w:rPr>
                  <m:t>×</m:t>
                </m:r>
              </m:e>
            </m:mr>
            <m:mr>
              <m:e>
                <m:r>
                  <m:rPr>
                    <m:sty m:val="p"/>
                  </m:rPr>
                  <w:rPr>
                    <w:rFonts w:ascii="Cambria Math" w:hAnsi="Cambria Math"/>
                  </w:rPr>
                  <m:t>×</m:t>
                </m:r>
              </m:e>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4</m:t>
                        </m:r>
                        <m:r>
                          <w:rPr>
                            <w:rFonts w:ascii="Cambria Math" w:hAnsi="Cambria Math"/>
                          </w:rPr>
                          <m:t>a</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aT</m:t>
                        </m:r>
                      </m:sup>
                    </m:sSup>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m:t>
                            </m:r>
                            <m:r>
                              <w:rPr>
                                <w:rFonts w:ascii="Cambria Math" w:hAnsi="Cambria Math"/>
                              </w:rPr>
                              <m:t>at</m:t>
                            </m:r>
                          </m:sup>
                        </m:sSup>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at</m:t>
                            </m:r>
                          </m:sup>
                        </m:sSup>
                      </m:e>
                    </m:d>
                  </m:e>
                </m:d>
              </m:e>
            </m:mr>
          </m:m>
          <m:r>
            <w:rPr>
              <w:rFonts w:ascii="Cambria Math" w:hAnsi="Cambria Math"/>
            </w:rPr>
            <m:t>  </m:t>
          </m:r>
          <m:d>
            <m:dPr>
              <m:ctrlPr>
                <w:rPr>
                  <w:rFonts w:ascii="Cambria Math" w:hAnsi="Cambria Math"/>
                </w:rPr>
              </m:ctrlPr>
            </m:dPr>
            <m:e>
              <m:r>
                <w:rPr>
                  <w:rFonts w:ascii="Cambria Math" w:hAnsi="Cambria Math"/>
                </w:rPr>
                <m:t>8</m:t>
              </m:r>
            </m:e>
          </m:d>
        </m:oMath>
      </m:oMathPara>
      <w:bookmarkEnd w:id="10"/>
    </w:p>
    <w:p w14:paraId="1E7CF909" w14:textId="77777777" w:rsidR="00AE5881" w:rsidRPr="00807030" w:rsidRDefault="00807030">
      <w:pPr>
        <w:pStyle w:val="FirstParagraph"/>
        <w:rPr>
          <w:lang w:val="es-ES"/>
        </w:rPr>
      </w:pPr>
      <w:r w:rsidRPr="00807030">
        <w:rPr>
          <w:lang w:val="es-ES"/>
        </w:rPr>
        <w:t>Este resultado es muy útil computacionalme</w:t>
      </w:r>
      <w:r w:rsidRPr="00807030">
        <w:rPr>
          <w:lang w:val="es-ES"/>
        </w:rPr>
        <w:t>nte puesto que los precios de los derivados sobre el grid de simulación se pueden evaluar analíticamente o bien utilizando árboles trinomiales:</w:t>
      </w:r>
    </w:p>
    <w:p w14:paraId="3B6A8F62" w14:textId="77777777" w:rsidR="00AE5881" w:rsidRPr="00807030" w:rsidRDefault="00807030">
      <w:pPr>
        <w:numPr>
          <w:ilvl w:val="0"/>
          <w:numId w:val="3"/>
        </w:numPr>
        <w:rPr>
          <w:lang w:val="es-ES"/>
        </w:rPr>
      </w:pPr>
      <w:r w:rsidRPr="00807030">
        <w:rPr>
          <w:lang w:val="es-ES"/>
        </w:rPr>
        <w:t xml:space="preserve">En el caso de los </w:t>
      </w:r>
      <w:r w:rsidRPr="00807030">
        <w:rPr>
          <w:i/>
          <w:iCs/>
          <w:lang w:val="es-ES"/>
        </w:rPr>
        <w:t>Commodity Swaps</w:t>
      </w:r>
      <w:r w:rsidRPr="00807030">
        <w:rPr>
          <w:lang w:val="es-ES"/>
        </w:rPr>
        <w:t xml:space="preserve">, el promedio de los precios spot a lo largo de varios días constituye el </w:t>
      </w:r>
      <w:r w:rsidRPr="00807030">
        <w:rPr>
          <w:i/>
          <w:iCs/>
          <w:lang w:val="es-ES"/>
        </w:rPr>
        <w:t>fixin</w:t>
      </w:r>
      <w:r w:rsidRPr="00807030">
        <w:rPr>
          <w:i/>
          <w:iCs/>
          <w:lang w:val="es-ES"/>
        </w:rPr>
        <w:t>g</w:t>
      </w:r>
      <w:r w:rsidRPr="00807030">
        <w:rPr>
          <w:lang w:val="es-ES"/>
        </w:rPr>
        <w:t xml:space="preserve"> final </w:t>
      </w:r>
      <m:oMath>
        <m:sSup>
          <m:sSupPr>
            <m:ctrlPr>
              <w:rPr>
                <w:rFonts w:ascii="Cambria Math" w:hAnsi="Cambria Math"/>
              </w:rPr>
            </m:ctrlPr>
          </m:sSupPr>
          <m:e>
            <m:r>
              <w:rPr>
                <w:rFonts w:ascii="Cambria Math" w:hAnsi="Cambria Math"/>
              </w:rPr>
              <m:t>ϕ</m:t>
            </m:r>
          </m:e>
          <m:sup>
            <m:r>
              <w:rPr>
                <w:rFonts w:ascii="Cambria Math" w:hAnsi="Cambria Math"/>
              </w:rPr>
              <m:t>f</m:t>
            </m:r>
          </m:sup>
        </m:sSup>
        <m:d>
          <m:dPr>
            <m:ctrlPr>
              <w:rPr>
                <w:rFonts w:ascii="Cambria Math" w:hAnsi="Cambria Math"/>
              </w:rPr>
            </m:ctrlPr>
          </m:dPr>
          <m:e>
            <m:r>
              <w:rPr>
                <w:rFonts w:ascii="Cambria Math" w:hAnsi="Cambria Math"/>
              </w:rPr>
              <m:t>t</m:t>
            </m:r>
            <m:r>
              <m:rPr>
                <m:sty m:val="p"/>
              </m:rPr>
              <w:rPr>
                <w:rFonts w:ascii="Cambria Math" w:hAnsi="Cambria Math"/>
                <w:lang w:val="es-ES"/>
              </w:rPr>
              <m:t>,</m:t>
            </m:r>
            <m:sSup>
              <m:sSupPr>
                <m:ctrlPr>
                  <w:rPr>
                    <w:rFonts w:ascii="Cambria Math" w:hAnsi="Cambria Math"/>
                  </w:rPr>
                </m:ctrlPr>
              </m:sSupPr>
              <m:e>
                <m:r>
                  <w:rPr>
                    <w:rFonts w:ascii="Cambria Math" w:hAnsi="Cambria Math"/>
                  </w:rPr>
                  <m:t>T</m:t>
                </m:r>
              </m:e>
              <m:sup>
                <m:r>
                  <w:rPr>
                    <w:rFonts w:ascii="Cambria Math" w:hAnsi="Cambria Math"/>
                  </w:rPr>
                  <m:t>f</m:t>
                </m:r>
              </m:sup>
            </m:sSup>
          </m:e>
        </m:d>
      </m:oMath>
      <w:r w:rsidRPr="00807030">
        <w:rPr>
          <w:lang w:val="es-ES"/>
        </w:rPr>
        <w:t xml:space="preserve">, o </w:t>
      </w:r>
      <w:r w:rsidRPr="00807030">
        <w:rPr>
          <w:i/>
          <w:iCs/>
          <w:lang w:val="es-ES"/>
        </w:rPr>
        <w:t>precio de referencia</w:t>
      </w:r>
      <w:r w:rsidRPr="00807030">
        <w:rPr>
          <w:lang w:val="es-ES"/>
        </w:rPr>
        <w:t xml:space="preserve">, de un determinado período de fixing, con fecha de fijación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807030">
        <w:rPr>
          <w:lang w:val="es-ES"/>
        </w:rPr>
        <w:t xml:space="preserve">. AA deriva la expectativa de este precio de referencia a partir de la curva </w:t>
      </w: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f</m:t>
                </m:r>
              </m:sub>
            </m:sSub>
          </m:e>
        </m:d>
      </m:oMath>
      <w:r w:rsidRPr="00807030">
        <w:rPr>
          <w:lang w:val="es-ES"/>
        </w:rPr>
        <w:t xml:space="preserve"> difundida hasta </w:t>
      </w:r>
      <m:oMath>
        <m:r>
          <w:rPr>
            <w:rFonts w:ascii="Cambria Math" w:hAnsi="Cambria Math"/>
          </w:rPr>
          <m:t>t</m:t>
        </m:r>
      </m:oMath>
      <w:r w:rsidRPr="00807030">
        <w:rPr>
          <w:lang w:val="es-ES"/>
        </w:rPr>
        <w:t xml:space="preserve"> mediante la expresión (</w:t>
      </w:r>
      <w:hyperlink w:anchor="eq-CS1F_SimulatedForwardCurve">
        <w:r w:rsidRPr="00807030">
          <w:rPr>
            <w:rStyle w:val="Hipervnculo"/>
            <w:lang w:val="es-ES"/>
          </w:rPr>
          <w:t>Equation 8</w:t>
        </w:r>
      </w:hyperlink>
      <w:r w:rsidRPr="00807030">
        <w:rPr>
          <w:lang w:val="es-ES"/>
        </w:rPr>
        <w:t>).</w:t>
      </w:r>
    </w:p>
    <w:p w14:paraId="020B7686" w14:textId="77777777" w:rsidR="00AE5881" w:rsidRPr="00807030" w:rsidRDefault="00807030">
      <w:pPr>
        <w:numPr>
          <w:ilvl w:val="0"/>
          <w:numId w:val="3"/>
        </w:numPr>
        <w:rPr>
          <w:lang w:val="es-ES"/>
        </w:rPr>
      </w:pPr>
      <w:r w:rsidRPr="00807030">
        <w:rPr>
          <w:lang w:val="es-ES"/>
        </w:rPr>
        <w:t xml:space="preserve">Para el caso de instrumentos tipo </w:t>
      </w:r>
      <w:r w:rsidRPr="00807030">
        <w:rPr>
          <w:i/>
          <w:iCs/>
          <w:lang w:val="es-ES"/>
        </w:rPr>
        <w:t>Cap/Floor y Collar</w:t>
      </w:r>
      <w:r w:rsidRPr="00807030">
        <w:rPr>
          <w:lang w:val="es-ES"/>
        </w:rPr>
        <w:t xml:space="preserve"> sobre materias primas, con el fin de calcular su precio en cada punto del grid de difusión, AA utiliza fórmulas de Black con la volatilidad del precio de ref</w:t>
      </w:r>
      <w:r w:rsidRPr="00807030">
        <w:rPr>
          <w:lang w:val="es-ES"/>
        </w:rPr>
        <w:t xml:space="preserve">erencia con strike </w:t>
      </w:r>
      <m:oMath>
        <m:r>
          <w:rPr>
            <w:rFonts w:ascii="Cambria Math" w:hAnsi="Cambria Math"/>
          </w:rPr>
          <m:t>K</m:t>
        </m:r>
      </m:oMath>
      <w:r w:rsidRPr="00807030">
        <w:rPr>
          <w:lang w:val="es-ES"/>
        </w:rPr>
        <w:t xml:space="preserve"> y plazo </w:t>
      </w:r>
      <m:oMath>
        <m:r>
          <w:rPr>
            <w:rFonts w:ascii="Cambria Math" w:hAnsi="Cambria Math"/>
          </w:rPr>
          <m:t>T</m:t>
        </m:r>
      </m:oMath>
      <w:r w:rsidRPr="00807030">
        <w:rPr>
          <w:lang w:val="es-ES"/>
        </w:rPr>
        <w:t xml:space="preserve">, </w:t>
      </w:r>
      <m:oMath>
        <m:r>
          <w:rPr>
            <w:rFonts w:ascii="Cambria Math" w:hAnsi="Cambria Math"/>
          </w:rPr>
          <m:t>w</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K</m:t>
            </m:r>
          </m:e>
        </m:d>
      </m:oMath>
      <w:r w:rsidRPr="00807030">
        <w:rPr>
          <w:lang w:val="es-ES"/>
        </w:rPr>
        <w:t xml:space="preserve">. Ésta se infiere a partir de la volatilidad de la materia prima </w:t>
      </w:r>
      <w:r w:rsidRPr="00807030">
        <w:rPr>
          <w:lang w:val="es-ES"/>
        </w:rPr>
        <w:lastRenderedPageBreak/>
        <w:t xml:space="preserve">subyacente, mediante la técnica de </w:t>
      </w:r>
      <w:r w:rsidRPr="00807030">
        <w:rPr>
          <w:i/>
          <w:iCs/>
          <w:lang w:val="es-ES"/>
        </w:rPr>
        <w:t>moment matching</w:t>
      </w:r>
      <w:r w:rsidRPr="00807030">
        <w:rPr>
          <w:lang w:val="es-ES"/>
        </w:rPr>
        <w:t xml:space="preserve"> detallada en (</w:t>
      </w:r>
      <w:r w:rsidRPr="00807030">
        <w:rPr>
          <w:b/>
          <w:bCs/>
          <w:lang w:val="es-ES"/>
        </w:rPr>
        <w:t>CITAR AA Theory Guide, Seccion 4.2.3</w:t>
      </w:r>
      <w:r w:rsidRPr="00807030">
        <w:rPr>
          <w:lang w:val="es-ES"/>
        </w:rPr>
        <w:t>). El precio de referencia, como en el caso de lo</w:t>
      </w:r>
      <w:r w:rsidRPr="00807030">
        <w:rPr>
          <w:lang w:val="es-ES"/>
        </w:rPr>
        <w:t xml:space="preserve">s swaps, implica el promedio de precios para varios días. Esta metodología se basa en aproximar la distribución del promedio de los precios a una lognormal y forzar correlación perfecta entre todos los punto de la curva forward difundida </w:t>
      </w: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e>
        </m:d>
      </m:oMath>
      <w:r w:rsidRPr="00807030">
        <w:rPr>
          <w:lang w:val="es-ES"/>
        </w:rPr>
        <w:t>.</w:t>
      </w:r>
    </w:p>
    <w:p w14:paraId="0CCEB6F1" w14:textId="77777777" w:rsidR="00AE5881" w:rsidRPr="00807030" w:rsidRDefault="00807030">
      <w:pPr>
        <w:pStyle w:val="Ttulo2"/>
        <w:rPr>
          <w:lang w:val="es-ES"/>
        </w:rPr>
      </w:pPr>
      <w:bookmarkStart w:id="11" w:name="calibración-del-modelo-de-difusión-comm"/>
      <w:bookmarkEnd w:id="6"/>
      <w:r w:rsidRPr="00807030">
        <w:rPr>
          <w:lang w:val="es-ES"/>
        </w:rPr>
        <w:t>Calibraci</w:t>
      </w:r>
      <w:r w:rsidRPr="00807030">
        <w:rPr>
          <w:lang w:val="es-ES"/>
        </w:rPr>
        <w:t>ón del Modelo de Difusión COMM</w:t>
      </w:r>
    </w:p>
    <w:p w14:paraId="714D013C" w14:textId="77777777" w:rsidR="00AE5881" w:rsidRPr="00807030" w:rsidRDefault="00807030">
      <w:pPr>
        <w:pStyle w:val="FirstParagraph"/>
        <w:rPr>
          <w:lang w:val="es-ES"/>
        </w:rPr>
      </w:pPr>
      <w:r w:rsidRPr="00807030">
        <w:rPr>
          <w:lang w:val="es-ES"/>
        </w:rPr>
        <w:t xml:space="preserve">La curva </w:t>
      </w: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S</m:t>
            </m:r>
            <m:d>
              <m:dPr>
                <m:ctrlPr>
                  <w:rPr>
                    <w:rFonts w:ascii="Cambria Math" w:hAnsi="Cambria Math"/>
                  </w:rPr>
                </m:ctrlPr>
              </m:dPr>
              <m:e>
                <m:r>
                  <w:rPr>
                    <w:rFonts w:ascii="Cambria Math" w:hAnsi="Cambria Math"/>
                  </w:rPr>
                  <m:t>t</m:t>
                </m:r>
              </m:e>
            </m:d>
          </m:e>
        </m:d>
        <m:r>
          <m:rPr>
            <m:sty m:val="p"/>
          </m:rPr>
          <w:rPr>
            <w:rFonts w:ascii="Cambria Math" w:hAnsi="Cambria Math"/>
            <w:lang w:val="es-ES"/>
          </w:rPr>
          <m:t>,</m:t>
        </m:r>
        <m:r>
          <w:rPr>
            <w:rFonts w:ascii="Cambria Math" w:hAnsi="Cambria Math"/>
          </w:rPr>
          <m:t>T</m:t>
        </m:r>
        <m:r>
          <m:rPr>
            <m:sty m:val="p"/>
          </m:rPr>
          <w:rPr>
            <w:rFonts w:ascii="Cambria Math" w:hAnsi="Cambria Math"/>
            <w:lang w:val="es-ES"/>
          </w:rPr>
          <m:t>)</m:t>
        </m:r>
      </m:oMath>
      <w:r w:rsidRPr="00807030">
        <w:rPr>
          <w:lang w:val="es-ES"/>
        </w:rPr>
        <w:t xml:space="preserve"> difundida a lo largo de todo el mallado de simulación exposiciones crediticias, depende paramétricamente de </w:t>
      </w:r>
      <m:oMath>
        <m:r>
          <w:rPr>
            <w:rFonts w:ascii="Cambria Math" w:hAnsi="Cambria Math"/>
          </w:rPr>
          <m:t>a</m:t>
        </m:r>
      </m:oMath>
      <w:r w:rsidRPr="00807030">
        <w:rPr>
          <w:lang w:val="es-ES"/>
        </w:rPr>
        <w:t xml:space="preserve"> y </w:t>
      </w:r>
      <m:oMath>
        <m:r>
          <w:rPr>
            <w:rFonts w:ascii="Cambria Math" w:hAnsi="Cambria Math"/>
          </w:rPr>
          <m:t>σ</m:t>
        </m:r>
      </m:oMath>
      <w:r w:rsidRPr="00807030">
        <w:rPr>
          <w:lang w:val="es-ES"/>
        </w:rPr>
        <w:t>, siendo el objeto fundamental, como se ha descrito anteriormente, en la inferencia de los precios simulados de derivados de materias primas actualmente en cartera.</w:t>
      </w:r>
    </w:p>
    <w:p w14:paraId="323548C9" w14:textId="77777777" w:rsidR="00AE5881" w:rsidRPr="00807030" w:rsidRDefault="00807030">
      <w:pPr>
        <w:numPr>
          <w:ilvl w:val="0"/>
          <w:numId w:val="4"/>
        </w:numPr>
        <w:rPr>
          <w:lang w:val="es-ES"/>
        </w:rPr>
      </w:pPr>
      <w:r w:rsidRPr="00807030">
        <w:rPr>
          <w:lang w:val="es-ES"/>
        </w:rPr>
        <w:t xml:space="preserve">Para el problema del cálculo de exposiciones y CVA se asume como buena aproximación </w:t>
      </w:r>
      <m:oMath>
        <m:r>
          <w:rPr>
            <w:rFonts w:ascii="Cambria Math" w:hAnsi="Cambria Math"/>
          </w:rPr>
          <m:t>a</m:t>
        </m:r>
        <m:r>
          <m:rPr>
            <m:sty m:val="p"/>
          </m:rPr>
          <w:rPr>
            <w:rFonts w:ascii="Cambria Math" w:hAnsi="Cambria Math"/>
            <w:lang w:val="es-ES"/>
          </w:rPr>
          <m:t>=</m:t>
        </m:r>
        <m:r>
          <w:rPr>
            <w:rFonts w:ascii="Cambria Math" w:hAnsi="Cambria Math"/>
            <w:lang w:val="es-ES"/>
          </w:rPr>
          <m:t>0</m:t>
        </m:r>
      </m:oMath>
      <w:r w:rsidRPr="00807030">
        <w:rPr>
          <w:lang w:val="es-ES"/>
        </w:rPr>
        <w:t>.</w:t>
      </w:r>
    </w:p>
    <w:p w14:paraId="4136043C" w14:textId="77777777" w:rsidR="00AE5881" w:rsidRPr="00807030" w:rsidRDefault="00807030">
      <w:pPr>
        <w:numPr>
          <w:ilvl w:val="0"/>
          <w:numId w:val="4"/>
        </w:numPr>
        <w:rPr>
          <w:lang w:val="es-ES"/>
        </w:rPr>
      </w:pPr>
      <w:r w:rsidRPr="00807030">
        <w:rPr>
          <w:lang w:val="es-ES"/>
        </w:rPr>
        <w:t>P</w:t>
      </w:r>
      <w:r w:rsidRPr="00807030">
        <w:rPr>
          <w:lang w:val="es-ES"/>
        </w:rPr>
        <w:t xml:space="preserve">ara la estimación de </w:t>
      </w:r>
      <m:oMath>
        <m:r>
          <w:rPr>
            <w:rFonts w:ascii="Cambria Math" w:hAnsi="Cambria Math"/>
          </w:rPr>
          <m:t>σ</m:t>
        </m:r>
      </m:oMath>
      <w:r w:rsidRPr="00807030">
        <w:rPr>
          <w:lang w:val="es-ES"/>
        </w:rPr>
        <w:t>, se utiliza la volatilidad histórica del precio spot de la materia prima, basada en logrendimientos semanales en una ventana de dos años. Para el caso de materias primas de energía, esta ventana de estimación es anual.</w:t>
      </w:r>
    </w:p>
    <w:p w14:paraId="504D5AFF" w14:textId="0D027FAA" w:rsidR="00AE5881" w:rsidRPr="00807030" w:rsidRDefault="00807030">
      <w:pPr>
        <w:numPr>
          <w:ilvl w:val="0"/>
          <w:numId w:val="4"/>
        </w:numPr>
        <w:rPr>
          <w:lang w:val="es-ES"/>
        </w:rPr>
      </w:pPr>
      <w:r w:rsidRPr="00807030">
        <w:rPr>
          <w:lang w:val="es-ES"/>
        </w:rPr>
        <w:t>Por último, p</w:t>
      </w:r>
      <w:r w:rsidRPr="00807030">
        <w:rPr>
          <w:lang w:val="es-ES"/>
        </w:rPr>
        <w:t xml:space="preserve">ara la estimación de </w:t>
      </w:r>
      <m:oMath>
        <m:r>
          <w:rPr>
            <w:rFonts w:ascii="Cambria Math" w:hAnsi="Cambria Math"/>
          </w:rPr>
          <m:t>w</m:t>
        </m:r>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K</m:t>
            </m:r>
          </m:e>
        </m:d>
      </m:oMath>
      <w:r w:rsidRPr="00807030">
        <w:rPr>
          <w:lang w:val="es-ES"/>
        </w:rPr>
        <w:t xml:space="preserve"> que es necesaria para simular los precios de opciones en el grid, se utiliza esta misma estimación </w:t>
      </w:r>
      <w:r w:rsidRPr="00807030">
        <w:rPr>
          <w:lang w:val="es-ES"/>
        </w:rPr>
        <w:t xml:space="preserve">de </w:t>
      </w:r>
      <m:oMath>
        <m:r>
          <w:rPr>
            <w:rFonts w:ascii="Cambria Math" w:hAnsi="Cambria Math"/>
          </w:rPr>
          <m:t>σ</m:t>
        </m:r>
      </m:oMath>
      <w:r w:rsidRPr="00807030">
        <w:rPr>
          <w:lang w:val="es-ES"/>
        </w:rPr>
        <w:t>.</w:t>
      </w:r>
    </w:p>
    <w:p w14:paraId="42A8C360" w14:textId="77777777" w:rsidR="00AE5881" w:rsidRPr="00807030" w:rsidRDefault="00807030">
      <w:pPr>
        <w:pStyle w:val="Ttulo3"/>
        <w:rPr>
          <w:lang w:val="es-ES"/>
        </w:rPr>
      </w:pPr>
      <w:bookmarkStart w:id="12" w:name="correlaciones"/>
      <w:r w:rsidRPr="00807030">
        <w:rPr>
          <w:lang w:val="es-ES"/>
        </w:rPr>
        <w:t>Correlaciones</w:t>
      </w:r>
    </w:p>
    <w:p w14:paraId="5F5C1270" w14:textId="77777777" w:rsidR="00AE5881" w:rsidRPr="00807030" w:rsidRDefault="00807030">
      <w:pPr>
        <w:pStyle w:val="FirstParagraph"/>
        <w:rPr>
          <w:lang w:val="es-ES"/>
        </w:rPr>
      </w:pPr>
      <w:r w:rsidRPr="00807030">
        <w:rPr>
          <w:lang w:val="es-ES"/>
        </w:rPr>
        <w:t>Como se ha descrito tanto en la introducción como bajo en la modelización bajo CS1F, las correlacio</w:t>
      </w:r>
      <w:r w:rsidRPr="00807030">
        <w:rPr>
          <w:lang w:val="es-ES"/>
        </w:rPr>
        <w:t>nes entre tipos de interés y los precios de materias primas se pueden considerar irrelevantes.</w:t>
      </w:r>
    </w:p>
    <w:p w14:paraId="6A3C4759" w14:textId="77777777" w:rsidR="00AE5881" w:rsidRPr="00807030" w:rsidRDefault="00807030">
      <w:pPr>
        <w:pStyle w:val="Textoindependiente"/>
        <w:rPr>
          <w:lang w:val="es-ES"/>
        </w:rPr>
      </w:pPr>
      <w:r w:rsidRPr="00807030">
        <w:rPr>
          <w:lang w:val="es-ES"/>
        </w:rPr>
        <w:t>Sin embargo, en el cálculo las exposiciones de productos en los que el promedio del precio de la materia prima se esté contravalorando a la moneda de liquidación</w:t>
      </w:r>
      <w:r w:rsidRPr="00807030">
        <w:rPr>
          <w:lang w:val="es-ES"/>
        </w:rPr>
        <w:t xml:space="preserve"> del citado derivado (derivados de tipo </w:t>
      </w:r>
      <w:r w:rsidRPr="00807030">
        <w:rPr>
          <w:i/>
          <w:iCs/>
          <w:lang w:val="es-ES"/>
        </w:rPr>
        <w:t>Compo</w:t>
      </w:r>
      <w:r w:rsidRPr="00807030">
        <w:rPr>
          <w:lang w:val="es-ES"/>
        </w:rPr>
        <w:t xml:space="preserve"> o </w:t>
      </w:r>
      <w:r w:rsidRPr="00807030">
        <w:rPr>
          <w:i/>
          <w:iCs/>
          <w:lang w:val="es-ES"/>
        </w:rPr>
        <w:t>Composite</w:t>
      </w:r>
      <w:r w:rsidRPr="00807030">
        <w:rPr>
          <w:lang w:val="es-ES"/>
        </w:rPr>
        <w:t>) intervienen en la estimación del valor esperado del precio de referencia en la moneda de base dado que es preciso conocer el Forward FX a los plazos relevantes, a través de la expresión:</w:t>
      </w:r>
    </w:p>
    <w:p w14:paraId="258A1A6B" w14:textId="77777777" w:rsidR="00AE5881" w:rsidRDefault="00807030">
      <w:pPr>
        <w:pStyle w:val="Textoindependiente"/>
      </w:pPr>
      <w:bookmarkStart w:id="13" w:name="eq-FXFWD4COMM"/>
      <m:oMathPara>
        <m:oMathParaPr>
          <m:jc m:val="center"/>
        </m:oMathParaPr>
        <m:oMath>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num>
            <m:den>
              <m:sSub>
                <m:sSubPr>
                  <m:ctrlPr>
                    <w:rPr>
                      <w:rFonts w:ascii="Cambria Math" w:hAnsi="Cambria Math"/>
                    </w:rPr>
                  </m:ctrlPr>
                </m:sSubPr>
                <m:e>
                  <m:r>
                    <w:rPr>
                      <w:rFonts w:ascii="Cambria Math" w:hAnsi="Cambria Math"/>
                    </w:rPr>
                    <m:t>D</m:t>
                  </m: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en>
          </m:f>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3"/>
    </w:p>
    <w:p w14:paraId="3E2442BA" w14:textId="77777777" w:rsidR="00AE5881" w:rsidRPr="00807030" w:rsidRDefault="00807030">
      <w:pPr>
        <w:pStyle w:val="FirstParagraph"/>
        <w:rPr>
          <w:lang w:val="es-ES"/>
        </w:rPr>
      </w:pPr>
      <w:r w:rsidRPr="00807030">
        <w:rPr>
          <w:lang w:val="es-ES"/>
        </w:rPr>
        <w:t xml:space="preserve">donde </w:t>
      </w: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807030">
        <w:rPr>
          <w:lang w:val="es-ES"/>
        </w:rPr>
        <w:t xml:space="preserve"> y </w:t>
      </w:r>
      <m:oMath>
        <m:sSub>
          <m:sSubPr>
            <m:ctrlPr>
              <w:rPr>
                <w:rFonts w:ascii="Cambria Math" w:hAnsi="Cambria Math"/>
              </w:rPr>
            </m:ctrlPr>
          </m:sSubPr>
          <m:e>
            <m:r>
              <w:rPr>
                <w:rFonts w:ascii="Cambria Math" w:hAnsi="Cambria Math"/>
              </w:rPr>
              <m:t>D</m:t>
            </m:r>
          </m:e>
          <m:sub>
            <m:r>
              <w:rPr>
                <w:rFonts w:ascii="Cambria Math" w:hAnsi="Cambria Math"/>
              </w:rPr>
              <m:t>d</m:t>
            </m:r>
          </m:sub>
        </m:sSub>
      </m:oMath>
      <w:r w:rsidRPr="00807030">
        <w:rPr>
          <w:lang w:val="es-ES"/>
        </w:rPr>
        <w:t xml:space="preserve"> son los factores de descuento en la divisa de la en la que se denomina la commodity y la moneda de liquidación del contrato, respectivamente. En ese caso, Las correlaciones relevantes son las mismas que se recoge</w:t>
      </w:r>
      <w:r w:rsidRPr="00807030">
        <w:rPr>
          <w:lang w:val="es-ES"/>
        </w:rPr>
        <w:t>n en el (</w:t>
      </w:r>
      <w:r w:rsidRPr="00807030">
        <w:rPr>
          <w:b/>
          <w:bCs/>
          <w:lang w:val="es-ES"/>
        </w:rPr>
        <w:t>CITAR OK!!</w:t>
      </w:r>
      <w:r w:rsidRPr="00807030">
        <w:rPr>
          <w:lang w:val="es-ES"/>
        </w:rPr>
        <w:t xml:space="preserve">) </w:t>
      </w:r>
      <w:r w:rsidRPr="00807030">
        <w:rPr>
          <w:i/>
          <w:iCs/>
          <w:lang w:val="es-ES"/>
        </w:rPr>
        <w:t>Modelos de Difusión para Instrumentos de Tipos de Cambio (FX)</w:t>
      </w:r>
      <w:r w:rsidRPr="00807030">
        <w:rPr>
          <w:lang w:val="es-ES"/>
        </w:rPr>
        <w:t xml:space="preserve"> así como su metodología de estimación.</w:t>
      </w:r>
    </w:p>
    <w:bookmarkEnd w:id="12"/>
    <w:bookmarkEnd w:id="11"/>
    <w:bookmarkEnd w:id="1"/>
    <w:sectPr w:rsidR="00AE5881" w:rsidRPr="0080703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94FF3" w14:textId="77777777" w:rsidR="00000000" w:rsidRDefault="00807030">
      <w:pPr>
        <w:spacing w:after="0"/>
      </w:pPr>
      <w:r>
        <w:separator/>
      </w:r>
    </w:p>
  </w:endnote>
  <w:endnote w:type="continuationSeparator" w:id="0">
    <w:p w14:paraId="4B5D2CDE" w14:textId="77777777" w:rsidR="00000000" w:rsidRDefault="008070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0BAD5" w14:textId="77777777" w:rsidR="00AE5881" w:rsidRDefault="00807030">
      <w:r>
        <w:separator/>
      </w:r>
    </w:p>
  </w:footnote>
  <w:footnote w:type="continuationSeparator" w:id="0">
    <w:p w14:paraId="3187E27E" w14:textId="77777777" w:rsidR="00AE5881" w:rsidRDefault="00807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024A1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D8A5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F90F2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0584587">
    <w:abstractNumId w:val="0"/>
  </w:num>
  <w:num w:numId="2" w16cid:durableId="1835143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1529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473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81"/>
    <w:rsid w:val="00156037"/>
    <w:rsid w:val="007C21A3"/>
    <w:rsid w:val="00807030"/>
    <w:rsid w:val="00AE58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DCEE1"/>
  <w15:docId w15:val="{769806FE-2651-4AA5-943C-13E87830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1286</Words>
  <Characters>7079</Characters>
  <Application>Microsoft Office Word</Application>
  <DocSecurity>0</DocSecurity>
  <Lines>58</Lines>
  <Paragraphs>16</Paragraphs>
  <ScaleCrop>false</ScaleCrop>
  <Company>Grupo Caixabank</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Difusión para Instrumentos de Materias Primas (COMM)</dc:title>
  <dc:creator>LLUIS NAVARRO GIRBES</dc:creator>
  <cp:keywords/>
  <cp:lastModifiedBy>LLUIS NAVARRO GIRBES</cp:lastModifiedBy>
  <cp:revision>3</cp:revision>
  <dcterms:created xsi:type="dcterms:W3CDTF">2024-05-10T11:38:00Z</dcterms:created>
  <dcterms:modified xsi:type="dcterms:W3CDTF">2024-05-10T11:40:00Z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MSIP_Label_c2c11c9e-624c-4a75-9f78-0989052ff6ea_Enabled">
    <vt:lpwstr>true</vt:lpwstr>
  </property>
  <property fmtid="{D5CDD505-2E9C-101B-9397-08002B2CF9AE}" pid="9" name="MSIP_Label_c2c11c9e-624c-4a75-9f78-0989052ff6ea_SetDate">
    <vt:lpwstr>2024-05-10T11:37:20Z</vt:lpwstr>
  </property>
  <property fmtid="{D5CDD505-2E9C-101B-9397-08002B2CF9AE}" pid="10" name="MSIP_Label_c2c11c9e-624c-4a75-9f78-0989052ff6ea_Method">
    <vt:lpwstr>Standard</vt:lpwstr>
  </property>
  <property fmtid="{D5CDD505-2E9C-101B-9397-08002B2CF9AE}" pid="11" name="MSIP_Label_c2c11c9e-624c-4a75-9f78-0989052ff6ea_Name">
    <vt:lpwstr>c2c11c9e-624c-4a75-9f78-0989052ff6ea</vt:lpwstr>
  </property>
  <property fmtid="{D5CDD505-2E9C-101B-9397-08002B2CF9AE}" pid="12" name="MSIP_Label_c2c11c9e-624c-4a75-9f78-0989052ff6ea_SiteId">
    <vt:lpwstr>5df31d35-3ba9-481e-a3c8-ff9be3ee783b</vt:lpwstr>
  </property>
  <property fmtid="{D5CDD505-2E9C-101B-9397-08002B2CF9AE}" pid="13" name="MSIP_Label_c2c11c9e-624c-4a75-9f78-0989052ff6ea_ActionId">
    <vt:lpwstr>1e97eaf0-067f-4156-9f65-04e55687f1a7</vt:lpwstr>
  </property>
  <property fmtid="{D5CDD505-2E9C-101B-9397-08002B2CF9AE}" pid="14" name="MSIP_Label_c2c11c9e-624c-4a75-9f78-0989052ff6ea_ContentBits">
    <vt:lpwstr>0</vt:lpwstr>
  </property>
</Properties>
</file>