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3B934" w14:textId="77777777" w:rsidR="004205C2" w:rsidRPr="00EE2BAF" w:rsidRDefault="006A4747">
      <w:pPr>
        <w:pStyle w:val="Ttulo"/>
        <w:rPr>
          <w:lang w:val="es-ES"/>
        </w:rPr>
      </w:pPr>
      <w:r w:rsidRPr="00EE2BAF">
        <w:rPr>
          <w:lang w:val="es-ES"/>
        </w:rPr>
        <w:t>Modelos de Difusión para Instrumentos de Inflación (INF)</w:t>
      </w:r>
    </w:p>
    <w:p w14:paraId="3034AE0C" w14:textId="77777777" w:rsidR="004205C2" w:rsidRPr="00EE2BAF" w:rsidRDefault="006A4747">
      <w:pPr>
        <w:pStyle w:val="Ttulo1"/>
        <w:rPr>
          <w:lang w:val="es-ES"/>
        </w:rPr>
      </w:pPr>
      <w:bookmarkStart w:id="0" w:name="introducción"/>
      <w:r w:rsidRPr="00EE2BAF">
        <w:rPr>
          <w:lang w:val="es-ES"/>
        </w:rPr>
        <w:t>Introducción</w:t>
      </w:r>
    </w:p>
    <w:p w14:paraId="7005D800" w14:textId="77777777" w:rsidR="004205C2" w:rsidRPr="00EE2BAF" w:rsidRDefault="006A4747">
      <w:pPr>
        <w:pStyle w:val="FirstParagraph"/>
        <w:rPr>
          <w:lang w:val="es-ES"/>
        </w:rPr>
      </w:pPr>
      <w:r w:rsidRPr="00EE2BAF">
        <w:rPr>
          <w:lang w:val="es-ES"/>
        </w:rPr>
        <w:t>Para la estimación de la exposición de un producto de inflación, el valor futuro de éste dependerá del factor de mercado tipo de inflación. El tipo de inflación es similar al factor de tipo de interés, pero tiene además asociados dos factores que represent</w:t>
      </w:r>
      <w:r w:rsidRPr="00EE2BAF">
        <w:rPr>
          <w:lang w:val="es-ES"/>
        </w:rPr>
        <w:t>an el índice de precios de inflación y el ajuste de estacionalidad.</w:t>
      </w:r>
    </w:p>
    <w:p w14:paraId="2B3C6971" w14:textId="77777777" w:rsidR="004205C2" w:rsidRPr="00EE2BAF" w:rsidRDefault="006A4747">
      <w:pPr>
        <w:pStyle w:val="Textoindependiente"/>
        <w:rPr>
          <w:lang w:val="es-ES"/>
        </w:rPr>
      </w:pPr>
      <w:r w:rsidRPr="00EE2BAF">
        <w:rPr>
          <w:lang w:val="es-ES"/>
        </w:rPr>
        <w:t xml:space="preserve">El punto central para la proyección de un tipo de inflación es la curva cupón cero de inflación actual, en la que se interpola linealmente y se hace extrapolación constante. En el cálculo </w:t>
      </w:r>
      <w:r w:rsidRPr="00EE2BAF">
        <w:rPr>
          <w:lang w:val="es-ES"/>
        </w:rPr>
        <w:t>de la exposición de un producto de inflación, los tipos de inflación pueden tener valores negativos.</w:t>
      </w:r>
    </w:p>
    <w:p w14:paraId="47A5EE30" w14:textId="77777777" w:rsidR="004205C2" w:rsidRPr="00EE2BAF" w:rsidRDefault="006A4747">
      <w:pPr>
        <w:pStyle w:val="Textoindependiente"/>
        <w:rPr>
          <w:lang w:val="es-ES"/>
        </w:rPr>
      </w:pPr>
      <w:r w:rsidRPr="00EE2BAF">
        <w:rPr>
          <w:lang w:val="es-ES"/>
        </w:rPr>
        <w:t xml:space="preserve">El cálculo de exposición para productos de inflación se basa en la relación entre el tipo de interés y el tipo de inflación. El tipo de interés nominal es </w:t>
      </w:r>
      <w:r w:rsidRPr="00EE2BAF">
        <w:rPr>
          <w:lang w:val="es-ES"/>
        </w:rPr>
        <w:t>igual al tipo de interés real (el verdadero coste/beneficio de un prestamista/ahorrador), más el tipo de inflación estimado.</w:t>
      </w:r>
    </w:p>
    <w:p w14:paraId="43AF94FC" w14:textId="77777777" w:rsidR="004205C2" w:rsidRPr="00EE2BAF" w:rsidRDefault="006A4747">
      <w:pPr>
        <w:pStyle w:val="Textoindependiente"/>
        <w:rPr>
          <w:lang w:val="es-ES"/>
        </w:rPr>
      </w:pPr>
      <w:r w:rsidRPr="00EE2BAF">
        <w:rPr>
          <w:lang w:val="es-ES"/>
        </w:rPr>
        <w:t>Si el cálculo de exposición es para un derivado de inflación en una divisa diferente a la base EUR, además se introduce otro factor</w:t>
      </w:r>
      <w:r w:rsidRPr="00EE2BAF">
        <w:rPr>
          <w:lang w:val="es-ES"/>
        </w:rPr>
        <w:t xml:space="preserve"> de mercado que es el tipo de cambio.</w:t>
      </w:r>
    </w:p>
    <w:p w14:paraId="41F35074" w14:textId="77777777" w:rsidR="004205C2" w:rsidRPr="00EE2BAF" w:rsidRDefault="006A4747">
      <w:pPr>
        <w:pStyle w:val="Ttulo1"/>
        <w:rPr>
          <w:lang w:val="es-ES"/>
        </w:rPr>
      </w:pPr>
      <w:bookmarkStart w:id="1" w:name="Xd6d81e908416ebfc94030bc937390b288426677"/>
      <w:bookmarkEnd w:id="0"/>
      <w:r w:rsidRPr="00EE2BAF">
        <w:rPr>
          <w:lang w:val="es-ES"/>
        </w:rPr>
        <w:t>Modelo de Difusión para Exposiciones y CVA</w:t>
      </w:r>
    </w:p>
    <w:p w14:paraId="2E6241DE" w14:textId="13F96F0E" w:rsidR="004205C2" w:rsidRPr="00EE2BAF" w:rsidRDefault="006A4747">
      <w:pPr>
        <w:pStyle w:val="FirstParagraph"/>
        <w:rPr>
          <w:lang w:val="es-ES"/>
        </w:rPr>
      </w:pPr>
      <w:proofErr w:type="spellStart"/>
      <w:r w:rsidRPr="00EE2BAF">
        <w:rPr>
          <w:lang w:val="es-ES"/>
        </w:rPr>
        <w:t>Adaptiv</w:t>
      </w:r>
      <w:proofErr w:type="spellEnd"/>
      <w:r w:rsidRPr="00EE2BAF">
        <w:rPr>
          <w:lang w:val="es-ES"/>
        </w:rPr>
        <w:t xml:space="preserve"> </w:t>
      </w:r>
      <w:proofErr w:type="spellStart"/>
      <w:r w:rsidRPr="00EE2BAF">
        <w:rPr>
          <w:lang w:val="es-ES"/>
        </w:rPr>
        <w:t>Analytics</w:t>
      </w:r>
      <w:proofErr w:type="spellEnd"/>
      <w:r w:rsidRPr="00EE2BAF">
        <w:rPr>
          <w:lang w:val="es-ES"/>
        </w:rPr>
        <w:t xml:space="preserve"> (AA) para proyectar el tipo de interés nominal y el tipo de inflación emplea un modelo Hull-White de dos factores. El primero se corresponde con </w:t>
      </w:r>
      <w:r w:rsidRPr="006A4747">
        <w:rPr>
          <w:color w:val="FF0000"/>
          <w:lang w:val="es-ES"/>
        </w:rPr>
        <w:t>e</w:t>
      </w:r>
      <w:r w:rsidRPr="00EE2BAF">
        <w:rPr>
          <w:lang w:val="es-ES"/>
        </w:rPr>
        <w:t>l</w:t>
      </w:r>
      <w:r w:rsidRPr="00EE2BAF">
        <w:rPr>
          <w:lang w:val="es-ES"/>
        </w:rPr>
        <w:t xml:space="preserve"> tipo d</w:t>
      </w:r>
      <w:r w:rsidRPr="00EE2BAF">
        <w:rPr>
          <w:lang w:val="es-ES"/>
        </w:rPr>
        <w:t xml:space="preserve">e inflación </w:t>
      </w:r>
      <m:oMath>
        <m:r>
          <w:rPr>
            <w:rFonts w:ascii="Cambria Math" w:hAnsi="Cambria Math"/>
          </w:rPr>
          <m:t>i</m:t>
        </m:r>
      </m:oMath>
      <w:r w:rsidRPr="00EE2BAF">
        <w:rPr>
          <w:lang w:val="es-ES"/>
        </w:rPr>
        <w:t xml:space="preserve"> y el segundo con el tipo nominal </w:t>
      </w:r>
      <m:oMath>
        <m:r>
          <w:rPr>
            <w:rFonts w:ascii="Cambria Math" w:hAnsi="Cambria Math"/>
          </w:rPr>
          <m:t>r</m:t>
        </m:r>
      </m:oMath>
      <w:r w:rsidRPr="00EE2BAF">
        <w:rPr>
          <w:lang w:val="es-ES"/>
        </w:rPr>
        <w:t>. Ambos factores exhiben correlación en el caso general. Este proceso de Hull-White de dos factores</w:t>
      </w:r>
      <w:r>
        <w:rPr>
          <w:lang w:val="es-ES"/>
        </w:rPr>
        <w:t xml:space="preserve"> </w:t>
      </w:r>
      <w:r w:rsidRPr="006A4747">
        <w:rPr>
          <w:color w:val="FF0000"/>
          <w:lang w:val="es-ES"/>
        </w:rPr>
        <w:t>particular</w:t>
      </w:r>
      <w:r w:rsidRPr="00EE2BAF">
        <w:rPr>
          <w:lang w:val="es-ES"/>
        </w:rPr>
        <w:t>, está descrito por Dodgson y Kainth con detalle en (</w:t>
      </w:r>
      <w:proofErr w:type="gramStart"/>
      <w:r w:rsidRPr="00EE2BAF">
        <w:rPr>
          <w:b/>
          <w:bCs/>
          <w:lang w:val="es-ES"/>
        </w:rPr>
        <w:t>CITAR OK!!!</w:t>
      </w:r>
      <w:proofErr w:type="gramEnd"/>
      <w:r w:rsidRPr="00EE2BAF">
        <w:rPr>
          <w:lang w:val="es-ES"/>
        </w:rPr>
        <w:t>) por lo que</w:t>
      </w:r>
      <w:r w:rsidR="00EE2BAF" w:rsidRPr="006A4747">
        <w:rPr>
          <w:color w:val="FF0000"/>
          <w:lang w:val="es-ES"/>
        </w:rPr>
        <w:t xml:space="preserve">, </w:t>
      </w:r>
      <w:r w:rsidRPr="006A4747">
        <w:rPr>
          <w:color w:val="FF0000"/>
          <w:lang w:val="es-ES"/>
        </w:rPr>
        <w:t>en lo que sigue</w:t>
      </w:r>
      <w:r w:rsidR="00EE2BAF" w:rsidRPr="00EE2BAF">
        <w:rPr>
          <w:color w:val="FF0000"/>
          <w:lang w:val="es-ES"/>
        </w:rPr>
        <w:t>,</w:t>
      </w:r>
      <w:r w:rsidR="00EE2BAF">
        <w:rPr>
          <w:lang w:val="es-ES"/>
        </w:rPr>
        <w:t xml:space="preserve"> </w:t>
      </w:r>
      <w:r w:rsidRPr="00EE2BAF">
        <w:rPr>
          <w:lang w:val="es-ES"/>
        </w:rPr>
        <w:t>lo denotaremos</w:t>
      </w:r>
      <w:r w:rsidRPr="00EE2BAF">
        <w:rPr>
          <w:lang w:val="es-ES"/>
        </w:rPr>
        <w:t xml:space="preserve"> abreviadamente por </w:t>
      </w:r>
      <w:r w:rsidRPr="006A4747">
        <w:rPr>
          <w:i/>
          <w:iCs/>
          <w:color w:val="FF0000"/>
          <w:lang w:val="es-ES"/>
        </w:rPr>
        <w:t>DK</w:t>
      </w:r>
      <w:r w:rsidRPr="00EE2BAF">
        <w:rPr>
          <w:lang w:val="es-ES"/>
        </w:rPr>
        <w:t>.</w:t>
      </w:r>
    </w:p>
    <w:p w14:paraId="0A859F51" w14:textId="77777777" w:rsidR="004205C2" w:rsidRDefault="006A4747">
      <w:pPr>
        <w:pStyle w:val="Textoindependiente"/>
      </w:pPr>
      <w:proofErr w:type="spellStart"/>
      <w:r>
        <w:t>Explícitamente</w:t>
      </w:r>
      <w:proofErr w:type="spellEnd"/>
      <w:r>
        <w:t>:</w:t>
      </w:r>
    </w:p>
    <w:bookmarkStart w:id="2" w:name="eq-INF_DK"/>
    <w:p w14:paraId="433DACB5" w14:textId="77777777" w:rsidR="004205C2" w:rsidRDefault="006A4747">
      <w:pPr>
        <w:pStyle w:val="Textoindependiente"/>
      </w:pPr>
      <m:oMathPara>
        <m:oMathParaPr>
          <m:jc m:val="center"/>
        </m:oMathParaPr>
        <m:oMath>
          <m:d>
            <m:dPr>
              <m:begChr m:val=""/>
              <m:endChr m:val="}"/>
              <m:ctrlPr>
                <w:rPr>
                  <w:rFonts w:ascii="Cambria Math" w:hAnsi="Cambria Math"/>
                </w:rPr>
              </m:ctrlPr>
            </m:dPr>
            <m:e>
              <m:m>
                <m:mPr>
                  <m:plcHide m:val="1"/>
                  <m:mcs>
                    <m:mc>
                      <m:mcPr>
                        <m:count m:val="1"/>
                        <m:mcJc m:val="right"/>
                      </m:mcPr>
                    </m:mc>
                    <m:mc>
                      <m:mcPr>
                        <m:count m:val="1"/>
                        <m:mcJc m:val="center"/>
                      </m:mcPr>
                    </m:mc>
                    <m:mc>
                      <m:mcPr>
                        <m:count m:val="1"/>
                        <m:mcJc m:val="left"/>
                      </m:mcPr>
                    </m:mc>
                  </m:mcs>
                  <m:ctrlPr>
                    <w:rPr>
                      <w:rFonts w:ascii="Cambria Math" w:hAnsi="Cambria Math"/>
                    </w:rPr>
                  </m:ctrlPr>
                </m:mPr>
                <m:mr>
                  <m:e>
                    <m:r>
                      <w:rPr>
                        <w:rFonts w:ascii="Cambria Math" w:hAnsi="Cambria Math"/>
                      </w:rPr>
                      <m:t>di</m:t>
                    </m:r>
                  </m:e>
                  <m:e>
                    <m:r>
                      <m:rPr>
                        <m:sty m:val="p"/>
                      </m:rPr>
                      <w:rPr>
                        <w:rFonts w:ascii="Cambria Math" w:hAnsi="Cambria Math"/>
                      </w:rPr>
                      <m:t>=</m:t>
                    </m:r>
                  </m:e>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w:rPr>
                            <w:rFonts w:ascii="Cambria Math" w:hAnsi="Cambria Math"/>
                          </w:rPr>
                          <m:t>i</m:t>
                        </m:r>
                        <m:d>
                          <m:dPr>
                            <m:ctrlPr>
                              <w:rPr>
                                <w:rFonts w:ascii="Cambria Math" w:hAnsi="Cambria Math"/>
                              </w:rPr>
                            </m:ctrlPr>
                          </m:dPr>
                          <m:e>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m:t>
                        </m:r>
                      </m:e>
                    </m:d>
                  </m:e>
                </m:mr>
                <m:mr>
                  <m:e>
                    <m:r>
                      <w:rPr>
                        <w:rFonts w:ascii="Cambria Math" w:hAnsi="Cambria Math"/>
                      </w:rPr>
                      <m:t>dr</m:t>
                    </m:r>
                  </m:e>
                  <m:e>
                    <m:r>
                      <m:rPr>
                        <m:sty m:val="p"/>
                      </m:rPr>
                      <w:rPr>
                        <w:rFonts w:ascii="Cambria Math" w:hAnsi="Cambria Math"/>
                      </w:rPr>
                      <m:t>=</m:t>
                    </m:r>
                  </m:e>
                  <m:e>
                    <m:d>
                      <m:dPr>
                        <m:begChr m:val="["/>
                        <m:endChr m:val="]"/>
                        <m:ctrlPr>
                          <w:rPr>
                            <w:rFonts w:ascii="Cambria Math" w:hAnsi="Cambria Math"/>
                          </w:rPr>
                        </m:ctrlPr>
                      </m:dPr>
                      <m:e>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w:rPr>
                            <w:rFonts w:ascii="Cambria Math" w:hAnsi="Cambria Math"/>
                          </w:rPr>
                          <m:t> </m:t>
                        </m:r>
                        <m:r>
                          <w:rPr>
                            <w:rFonts w:ascii="Cambria Math" w:hAnsi="Cambria Math"/>
                          </w:rPr>
                          <m:t>r</m:t>
                        </m:r>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σdW</m:t>
                    </m:r>
                    <m:d>
                      <m:dPr>
                        <m:ctrlPr>
                          <w:rPr>
                            <w:rFonts w:ascii="Cambria Math" w:hAnsi="Cambria Math"/>
                          </w:rPr>
                        </m:ctrlPr>
                      </m:dPr>
                      <m:e>
                        <m:r>
                          <w:rPr>
                            <w:rFonts w:ascii="Cambria Math" w:hAnsi="Cambria Math"/>
                          </w:rPr>
                          <m:t>t</m:t>
                        </m:r>
                      </m:e>
                    </m:d>
                  </m:e>
                </m:mr>
                <m:mr>
                  <m:e/>
                  <m:e/>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2"/>
    </w:p>
    <w:p w14:paraId="30178421" w14:textId="77777777" w:rsidR="004205C2" w:rsidRDefault="006A4747">
      <w:pPr>
        <w:pStyle w:val="FirstParagraph"/>
      </w:pPr>
      <w:r w:rsidRPr="00EE2BAF">
        <w:rPr>
          <w:lang w:val="es-ES"/>
        </w:rPr>
        <w:t xml:space="preserve">Aplicando argumentos estándar, los niveles de reversión a la media de ambas difusiones, </w:t>
      </w:r>
      <m:oMath>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oMath>
      <w:r w:rsidRPr="00EE2BAF">
        <w:rPr>
          <w:lang w:val="es-ES"/>
        </w:rPr>
        <w:t xml:space="preserve"> y </w:t>
      </w:r>
      <m:oMath>
        <m:r>
          <w:rPr>
            <w:rFonts w:ascii="Cambria Math" w:hAnsi="Cambria Math"/>
          </w:rPr>
          <m:t>θ</m:t>
        </m:r>
        <m:d>
          <m:dPr>
            <m:ctrlPr>
              <w:rPr>
                <w:rFonts w:ascii="Cambria Math" w:hAnsi="Cambria Math"/>
              </w:rPr>
            </m:ctrlPr>
          </m:dPr>
          <m:e>
            <m:r>
              <w:rPr>
                <w:rFonts w:ascii="Cambria Math" w:hAnsi="Cambria Math"/>
              </w:rPr>
              <m:t>t</m:t>
            </m:r>
          </m:e>
        </m:d>
      </m:oMath>
      <w:r w:rsidRPr="00EE2BAF">
        <w:rPr>
          <w:lang w:val="es-ES"/>
        </w:rPr>
        <w:t xml:space="preserve"> son conocidos con datos de mercado iniciales. </w:t>
      </w:r>
      <w:proofErr w:type="spellStart"/>
      <w:r>
        <w:t>Así</w:t>
      </w:r>
      <w:proofErr w:type="spellEnd"/>
      <w:r>
        <w:t xml:space="preserve"> </w:t>
      </w:r>
      <w:proofErr w:type="spellStart"/>
      <w:r>
        <w:t>pues</w:t>
      </w:r>
      <w:proofErr w:type="spellEnd"/>
      <w:r>
        <w:t>:</w:t>
      </w:r>
    </w:p>
    <w:bookmarkStart w:id="3" w:name="eq-INF_Thetas"/>
    <w:p w14:paraId="1134C0CE" w14:textId="77777777" w:rsidR="004205C2" w:rsidRDefault="006A4747">
      <w:pPr>
        <w:pStyle w:val="Textoindependiente"/>
      </w:pPr>
      <m:oMathPara>
        <m:oMathParaPr>
          <m:jc m:val="center"/>
        </m:oMathParaPr>
        <m:oMath>
          <m:d>
            <m:dPr>
              <m:begChr m:val=""/>
              <m:endChr m:val="}"/>
              <m:ctrlPr>
                <w:rPr>
                  <w:rFonts w:ascii="Cambria Math" w:hAnsi="Cambria Math"/>
                </w:rPr>
              </m:ctrlPr>
            </m:dPr>
            <m:e>
              <m:m>
                <m:mPr>
                  <m:plcHide m:val="1"/>
                  <m:mcs>
                    <m:mc>
                      <m:mcPr>
                        <m:count m:val="1"/>
                        <m:mcJc m:val="right"/>
                      </m:mcPr>
                    </m:mc>
                    <m:mc>
                      <m:mcPr>
                        <m:count m:val="1"/>
                        <m:mcJc m:val="center"/>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e>
                    <m:r>
                      <m:rPr>
                        <m:sty m:val="p"/>
                      </m:rPr>
                      <w:rPr>
                        <w:rFonts w:ascii="Cambria Math" w:hAnsi="Cambria Math"/>
                      </w:rPr>
                      <m:t>=</m:t>
                    </m:r>
                  </m:e>
                  <m:e>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B</m:t>
                        </m:r>
                      </m:e>
                      <m:sub>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I</m:t>
                            </m:r>
                          </m:sub>
                        </m:sSub>
                      </m:sub>
                    </m:sSub>
                    <m:d>
                      <m:dPr>
                        <m:ctrlPr>
                          <w:rPr>
                            <w:rFonts w:ascii="Cambria Math" w:hAnsi="Cambria Math"/>
                          </w:rPr>
                        </m:ctrlPr>
                      </m:dPr>
                      <m:e>
                        <m:r>
                          <w:rPr>
                            <w:rFonts w:ascii="Cambria Math" w:hAnsi="Cambria Math"/>
                          </w:rPr>
                          <m:t>t</m:t>
                        </m:r>
                      </m:e>
                    </m:d>
                    <m:r>
                      <m:rPr>
                        <m:sty m:val="p"/>
                      </m:rPr>
                      <w:rPr>
                        <w:rFonts w:ascii="Cambria Math" w:hAnsi="Cambria Math"/>
                      </w:rPr>
                      <m:t>+</m:t>
                    </m:r>
                  </m:e>
                </m:mr>
                <m:mr>
                  <m:e/>
                  <m:e>
                    <m:r>
                      <m:rPr>
                        <m:sty m:val="p"/>
                      </m:rPr>
                      <w:rPr>
                        <w:rFonts w:ascii="Cambria Math" w:hAnsi="Cambria Math"/>
                      </w:rPr>
                      <m:t>+</m:t>
                    </m:r>
                  </m:e>
                  <m:e>
                    <m:r>
                      <w:rPr>
                        <w:rFonts w:ascii="Cambria Math" w:hAnsi="Cambria Math"/>
                      </w:rPr>
                      <m:t>ρσ</m:t>
                    </m:r>
                    <m:sSub>
                      <m:sSubPr>
                        <m:ctrlPr>
                          <w:rPr>
                            <w:rFonts w:ascii="Cambria Math" w:hAnsi="Cambria Math"/>
                          </w:rPr>
                        </m:ctrlPr>
                      </m:sSubPr>
                      <m:e>
                        <m:r>
                          <w:rPr>
                            <w:rFonts w:ascii="Cambria Math" w:hAnsi="Cambria Math"/>
                          </w:rPr>
                          <m:t>σ</m:t>
                        </m:r>
                      </m:e>
                      <m:sub>
                        <m:r>
                          <w:rPr>
                            <w:rFonts w:ascii="Cambria Math" w:hAnsi="Cambria Math"/>
                          </w:rPr>
                          <m:t>I</m:t>
                        </m:r>
                      </m:sub>
                    </m:sSub>
                    <m:d>
                      <m:dPr>
                        <m:begChr m:val="["/>
                        <m:endChr m:val="]"/>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a</m:t>
                            </m:r>
                          </m:num>
                          <m:den>
                            <m:sSub>
                              <m:sSubPr>
                                <m:ctrlPr>
                                  <w:rPr>
                                    <w:rFonts w:ascii="Cambria Math" w:hAnsi="Cambria Math"/>
                                  </w:rPr>
                                </m:ctrlPr>
                              </m:sSubPr>
                              <m:e>
                                <m:r>
                                  <w:rPr>
                                    <w:rFonts w:ascii="Cambria Math" w:hAnsi="Cambria Math"/>
                                  </w:rPr>
                                  <m:t>a</m:t>
                                </m:r>
                              </m:e>
                              <m:sub>
                                <m:r>
                                  <w:rPr>
                                    <w:rFonts w:ascii="Cambria Math" w:hAnsi="Cambria Math"/>
                                  </w:rPr>
                                  <m:t>I</m:t>
                                </m:r>
                              </m:sub>
                            </m:sSub>
                          </m:den>
                        </m:f>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ub>
                            </m:sSub>
                            <m:d>
                              <m:dPr>
                                <m:ctrlPr>
                                  <w:rPr>
                                    <w:rFonts w:ascii="Cambria Math" w:hAnsi="Cambria Math"/>
                                  </w:rPr>
                                </m:ctrlPr>
                              </m:dPr>
                              <m:e>
                                <m:r>
                                  <w:rPr>
                                    <w:rFonts w:ascii="Cambria Math" w:hAnsi="Cambria Math"/>
                                  </w:rPr>
                                  <m:t>t</m:t>
                                </m:r>
                              </m:e>
                            </m:d>
                          </m:e>
                        </m:d>
                      </m:e>
                    </m:d>
                  </m:e>
                </m:mr>
                <m:mr>
                  <m:e>
                    <m:r>
                      <w:rPr>
                        <w:rFonts w:ascii="Cambria Math" w:hAnsi="Cambria Math"/>
                      </w:rPr>
                      <m:t>θ</m:t>
                    </m:r>
                    <m:d>
                      <m:dPr>
                        <m:ctrlPr>
                          <w:rPr>
                            <w:rFonts w:ascii="Cambria Math" w:hAnsi="Cambria Math"/>
                          </w:rPr>
                        </m:ctrlPr>
                      </m:dPr>
                      <m:e>
                        <m:r>
                          <w:rPr>
                            <w:rFonts w:ascii="Cambria Math" w:hAnsi="Cambria Math"/>
                          </w:rPr>
                          <m:t>t</m:t>
                        </m:r>
                      </m:e>
                    </m:d>
                  </m:e>
                  <m:e>
                    <m:r>
                      <m:rPr>
                        <m:sty m:val="p"/>
                      </m:rPr>
                      <w:rPr>
                        <w:rFonts w:ascii="Cambria Math" w:hAnsi="Cambria Math"/>
                      </w:rPr>
                      <m:t>=</m:t>
                    </m:r>
                  </m:e>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2</m:t>
                        </m:r>
                        <m:r>
                          <w:rPr>
                            <w:rFonts w:ascii="Cambria Math" w:hAnsi="Cambria Math"/>
                          </w:rPr>
                          <m:t>a</m:t>
                        </m:r>
                      </m:sub>
                    </m:sSub>
                    <m:d>
                      <m:dPr>
                        <m:ctrlPr>
                          <w:rPr>
                            <w:rFonts w:ascii="Cambria Math" w:hAnsi="Cambria Math"/>
                          </w:rPr>
                        </m:ctrlPr>
                      </m:dPr>
                      <m:e>
                        <m:r>
                          <w:rPr>
                            <w:rFonts w:ascii="Cambria Math" w:hAnsi="Cambria Math"/>
                          </w:rPr>
                          <m:t>t</m:t>
                        </m:r>
                      </m:e>
                    </m:d>
                  </m:e>
                </m:mr>
                <m:mr>
                  <m:e/>
                  <m:e/>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3"/>
    </w:p>
    <w:p w14:paraId="2FD55802" w14:textId="77777777" w:rsidR="004205C2" w:rsidRPr="00EE2BAF" w:rsidRDefault="006A4747">
      <w:pPr>
        <w:pStyle w:val="FirstParagraph"/>
        <w:rPr>
          <w:lang w:val="es-ES"/>
        </w:rPr>
      </w:pPr>
      <w:r w:rsidRPr="00EE2BAF">
        <w:rPr>
          <w:lang w:val="es-ES"/>
        </w:rPr>
        <w:t>Donde se ha introducido el forward instantáneo de inflación como,</w:t>
      </w:r>
    </w:p>
    <w:p w14:paraId="269E0EE8" w14:textId="77777777" w:rsidR="004205C2" w:rsidRDefault="006A4747">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m:rPr>
              <m:sty m:val="p"/>
            </m:rPr>
            <w:rPr>
              <w:rFonts w:ascii="Cambria Math" w:hAnsi="Cambria Math"/>
            </w:rPr>
            <m:t>log</m:t>
          </m:r>
          <m:acc>
            <m:accPr>
              <m:ctrlPr>
                <w:rPr>
                  <w:rFonts w:ascii="Cambria Math" w:hAnsi="Cambria Math"/>
                </w:rPr>
              </m:ctrlPr>
            </m:accPr>
            <m:e>
              <m:r>
                <w:rPr>
                  <w:rFonts w:ascii="Cambria Math" w:hAnsi="Cambria Math"/>
                </w:rPr>
                <m:t>I</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oMath>
      </m:oMathPara>
    </w:p>
    <w:p w14:paraId="18AEAD61" w14:textId="77777777" w:rsidR="004205C2" w:rsidRPr="00EE2BAF" w:rsidRDefault="006A4747">
      <w:pPr>
        <w:pStyle w:val="FirstParagraph"/>
        <w:rPr>
          <w:lang w:val="es-ES"/>
        </w:rPr>
      </w:pPr>
      <w:r w:rsidRPr="00EE2BAF">
        <w:rPr>
          <w:lang w:val="es-ES"/>
        </w:rPr>
        <w:t xml:space="preserve">siendo </w:t>
      </w:r>
      <m:oMath>
        <m:acc>
          <m:accPr>
            <m:ctrlPr>
              <w:rPr>
                <w:rFonts w:ascii="Cambria Math" w:hAnsi="Cambria Math"/>
              </w:rPr>
            </m:ctrlPr>
          </m:accPr>
          <m:e>
            <m:r>
              <w:rPr>
                <w:rFonts w:ascii="Cambria Math" w:hAnsi="Cambria Math"/>
              </w:rPr>
              <m:t>I</m:t>
            </m:r>
          </m:e>
        </m:acc>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r>
          <m:rPr>
            <m:sty m:val="p"/>
          </m:rP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num>
          <m:den>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den>
        </m:f>
      </m:oMath>
      <w:r w:rsidRPr="00EE2BAF">
        <w:rPr>
          <w:lang w:val="es-ES"/>
        </w:rPr>
        <w:t xml:space="preserve"> el indice de precios de inflación proyectado, </w:t>
      </w:r>
      <m:oMath>
        <m:r>
          <w:rPr>
            <w:rFonts w:ascii="Cambria Math" w:hAnsi="Cambria Math"/>
          </w:rPr>
          <m:t>ρ</m:t>
        </m:r>
        <m:box>
          <m:boxPr>
            <m:opEmu m:val="1"/>
            <m:ctrlPr>
              <w:rPr>
                <w:rFonts w:ascii="Cambria Math" w:hAnsi="Cambria Math"/>
              </w:rPr>
            </m:ctrlPr>
          </m:boxPr>
          <m:e>
            <m:r>
              <m:rPr>
                <m:sty m:val="p"/>
              </m:rPr>
              <w:rPr>
                <w:rFonts w:ascii="Cambria Math" w:hAnsi="Cambria Math"/>
                <w:lang w:val="es-ES"/>
              </w:rPr>
              <m:t>:=</m:t>
            </m:r>
          </m:e>
        </m:box>
        <m:sSub>
          <m:sSubPr>
            <m:ctrlPr>
              <w:rPr>
                <w:rFonts w:ascii="Cambria Math" w:hAnsi="Cambria Math"/>
              </w:rPr>
            </m:ctrlPr>
          </m:sSubPr>
          <m:e>
            <m:r>
              <w:rPr>
                <w:rFonts w:ascii="Cambria Math" w:hAnsi="Cambria Math"/>
              </w:rPr>
              <m:t>ρ</m:t>
            </m:r>
          </m:e>
          <m:sub>
            <m:r>
              <w:rPr>
                <w:rFonts w:ascii="Cambria Math" w:hAnsi="Cambria Math"/>
              </w:rPr>
              <m:t>r</m:t>
            </m:r>
            <m:r>
              <m:rPr>
                <m:sty m:val="p"/>
              </m:rPr>
              <w:rPr>
                <w:rFonts w:ascii="Cambria Math" w:hAnsi="Cambria Math"/>
                <w:lang w:val="es-ES"/>
              </w:rPr>
              <m:t>,</m:t>
            </m:r>
            <m:r>
              <w:rPr>
                <w:rFonts w:ascii="Cambria Math" w:hAnsi="Cambria Math"/>
              </w:rPr>
              <m:t>i</m:t>
            </m:r>
          </m:sub>
        </m:sSub>
      </m:oMath>
      <w:r w:rsidRPr="00EE2BAF">
        <w:rPr>
          <w:lang w:val="es-ES"/>
        </w:rPr>
        <w:t xml:space="preserve"> la correlación entre factores de riesgo </w:t>
      </w:r>
      <m:oMath>
        <m:r>
          <w:rPr>
            <w:rFonts w:ascii="Cambria Math" w:hAnsi="Cambria Math"/>
          </w:rPr>
          <m:t>r</m:t>
        </m:r>
      </m:oMath>
      <w:r w:rsidRPr="00EE2BAF">
        <w:rPr>
          <w:lang w:val="es-ES"/>
        </w:rPr>
        <w:t xml:space="preserve"> e </w:t>
      </w:r>
      <m:oMath>
        <m:r>
          <w:rPr>
            <w:rFonts w:ascii="Cambria Math" w:hAnsi="Cambria Math"/>
          </w:rPr>
          <m:t>i</m:t>
        </m:r>
      </m:oMath>
      <w:r w:rsidRPr="00EE2BAF">
        <w:rPr>
          <w:lang w:val="es-ES"/>
        </w:rPr>
        <w:t xml:space="preserve"> y </w:t>
      </w:r>
      <m:oMath>
        <m:r>
          <w:rPr>
            <w:rFonts w:ascii="Cambria Math" w:hAnsi="Cambria Math"/>
          </w:rPr>
          <m:t>B</m:t>
        </m:r>
      </m:oMath>
      <w:r w:rsidRPr="00EE2BAF">
        <w:rPr>
          <w:lang w:val="es-ES"/>
        </w:rPr>
        <w:t xml:space="preserve"> tiene la expresión:</w:t>
      </w:r>
    </w:p>
    <w:bookmarkStart w:id="4" w:name="eq-HW2F_BFunction"/>
    <w:p w14:paraId="003E2694" w14:textId="77777777" w:rsidR="004205C2" w:rsidRDefault="006A4747">
      <w:pPr>
        <w:pStyle w:val="Textoindependiente"/>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r>
                    <w:rPr>
                      <w:rFonts w:ascii="Cambria Math" w:hAnsi="Cambria Math"/>
                    </w:rPr>
                    <m:t>at</m:t>
                  </m:r>
                </m:sup>
              </m:sSup>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4"/>
    </w:p>
    <w:p w14:paraId="6B5AA20D" w14:textId="77235BF0" w:rsidR="004205C2" w:rsidRPr="00EE2BAF" w:rsidRDefault="006A4747">
      <w:pPr>
        <w:pStyle w:val="FirstParagraph"/>
        <w:rPr>
          <w:lang w:val="es-ES"/>
        </w:rPr>
      </w:pPr>
      <w:r w:rsidRPr="00EE2BAF">
        <w:rPr>
          <w:lang w:val="es-ES"/>
        </w:rPr>
        <w:t xml:space="preserve">Los factores de descuento simulados asociados tanto a los tipos nominales,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oMath>
      <w:r w:rsidRPr="00EE2BAF">
        <w:rPr>
          <w:lang w:val="es-ES"/>
        </w:rPr>
        <w:t xml:space="preserve"> com</w:t>
      </w:r>
      <w:r w:rsidRPr="00EE2BAF">
        <w:rPr>
          <w:lang w:val="es-ES"/>
        </w:rPr>
        <w:t xml:space="preserve">o los tipos de inflación,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oMath>
      <w:r w:rsidRPr="00EE2BAF">
        <w:rPr>
          <w:lang w:val="es-ES"/>
        </w:rPr>
        <w:t xml:space="preserve"> van a ser pieza fundamental para calcular los precios de derivados en los puntos de grid de difusión, </w:t>
      </w:r>
      <w:r w:rsidRPr="006A4747">
        <w:rPr>
          <w:color w:val="FF0000"/>
          <w:lang w:val="es-ES"/>
        </w:rPr>
        <w:t>dado que</w:t>
      </w:r>
      <w:r w:rsidRPr="00EE2BAF">
        <w:rPr>
          <w:lang w:val="es-ES"/>
        </w:rPr>
        <w:t xml:space="preserve"> la elevada </w:t>
      </w:r>
      <w:proofErr w:type="spellStart"/>
      <w:r w:rsidRPr="00EE2BAF">
        <w:rPr>
          <w:lang w:val="es-ES"/>
        </w:rPr>
        <w:t>analiticidad</w:t>
      </w:r>
      <w:proofErr w:type="spellEnd"/>
      <w:r w:rsidRPr="00EE2BAF">
        <w:rPr>
          <w:lang w:val="es-ES"/>
        </w:rPr>
        <w:t xml:space="preserve"> del modelo </w:t>
      </w:r>
      <w:r w:rsidRPr="006A4747">
        <w:rPr>
          <w:i/>
          <w:iCs/>
          <w:color w:val="FF0000"/>
          <w:lang w:val="es-ES"/>
        </w:rPr>
        <w:t>DK</w:t>
      </w:r>
      <w:r w:rsidRPr="00EE2BAF">
        <w:rPr>
          <w:lang w:val="es-ES"/>
        </w:rPr>
        <w:t xml:space="preserve"> perm</w:t>
      </w:r>
      <w:r w:rsidRPr="00EE2BAF">
        <w:rPr>
          <w:lang w:val="es-ES"/>
        </w:rPr>
        <w:t>ite fórmulas cerradas para swaps, opciones y otros tipos de contratos derivados de inflación.</w:t>
      </w:r>
    </w:p>
    <w:p w14:paraId="0F07C5F6" w14:textId="77777777" w:rsidR="004205C2" w:rsidRDefault="006A4747">
      <w:pPr>
        <w:pStyle w:val="Textoindependiente"/>
      </w:pPr>
      <w:r w:rsidRPr="00EE2BAF">
        <w:rPr>
          <w:lang w:val="es-ES"/>
        </w:rPr>
        <w:t xml:space="preserve">Así pues, a la expresión bien conocida del factor de descuento usual para tipos nominales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oMath>
      <w:r w:rsidRPr="00EE2BAF">
        <w:rPr>
          <w:lang w:val="es-ES"/>
        </w:rPr>
        <w:t xml:space="preserve"> condicional a la evolución del proceso </w:t>
      </w:r>
      <m:oMath>
        <m:r>
          <w:rPr>
            <w:rFonts w:ascii="Cambria Math" w:hAnsi="Cambria Math"/>
          </w:rPr>
          <m:t>r</m:t>
        </m:r>
        <m:d>
          <m:dPr>
            <m:ctrlPr>
              <w:rPr>
                <w:rFonts w:ascii="Cambria Math" w:hAnsi="Cambria Math"/>
              </w:rPr>
            </m:ctrlPr>
          </m:dPr>
          <m:e>
            <m:r>
              <w:rPr>
                <w:rFonts w:ascii="Cambria Math" w:hAnsi="Cambria Math"/>
              </w:rPr>
              <m:t>t</m:t>
            </m:r>
          </m:e>
        </m:d>
      </m:oMath>
      <w:r w:rsidRPr="00EE2BAF">
        <w:rPr>
          <w:lang w:val="es-ES"/>
        </w:rPr>
        <w:t xml:space="preserve"> hasta </w:t>
      </w:r>
      <m:oMath>
        <m:r>
          <w:rPr>
            <w:rFonts w:ascii="Cambria Math" w:hAnsi="Cambria Math"/>
          </w:rPr>
          <m:t>t</m:t>
        </m:r>
      </m:oMath>
      <w:r w:rsidRPr="00EE2BAF">
        <w:rPr>
          <w:lang w:val="es-ES"/>
        </w:rPr>
        <w:t>, se la añad</w:t>
      </w:r>
      <w:r w:rsidRPr="00EE2BAF">
        <w:rPr>
          <w:lang w:val="es-ES"/>
        </w:rPr>
        <w:t xml:space="preserve">e la correspondiente a tipos de inflación condicionada por la evolución hasta </w:t>
      </w:r>
      <m:oMath>
        <m:r>
          <w:rPr>
            <w:rFonts w:ascii="Cambria Math" w:hAnsi="Cambria Math"/>
          </w:rPr>
          <m:t>t</m:t>
        </m:r>
      </m:oMath>
      <w:r w:rsidRPr="00EE2BAF">
        <w:rPr>
          <w:lang w:val="es-ES"/>
        </w:rPr>
        <w:t xml:space="preserve"> del par </w:t>
      </w:r>
      <m:oMath>
        <m:d>
          <m:dPr>
            <m:ctrlPr>
              <w:rPr>
                <w:rFonts w:ascii="Cambria Math" w:hAnsi="Cambria Math"/>
              </w:rPr>
            </m:ctrlPr>
          </m:dPr>
          <m:e>
            <m:r>
              <w:rPr>
                <w:rFonts w:ascii="Cambria Math" w:hAnsi="Cambria Math"/>
              </w:rPr>
              <m:t>i</m:t>
            </m:r>
            <m:r>
              <m:rPr>
                <m:sty m:val="p"/>
              </m:rPr>
              <w:rPr>
                <w:rFonts w:ascii="Cambria Math" w:hAnsi="Cambria Math"/>
                <w:lang w:val="es-ES"/>
              </w:rPr>
              <m:t>,</m:t>
            </m:r>
            <m:r>
              <w:rPr>
                <w:rFonts w:ascii="Cambria Math" w:hAnsi="Cambria Math"/>
              </w:rPr>
              <m:t>r</m:t>
            </m:r>
          </m:e>
        </m:d>
      </m:oMath>
      <w:r w:rsidRPr="00EE2BAF">
        <w:rPr>
          <w:lang w:val="es-ES"/>
        </w:rPr>
        <w:t xml:space="preserve">. </w:t>
      </w:r>
      <w:r>
        <w:t>Se puede demostrar que:</w:t>
      </w:r>
    </w:p>
    <w:bookmarkStart w:id="5" w:name="eq-HW2F_INFDiscountFactor"/>
    <w:p w14:paraId="38422C2F" w14:textId="77777777" w:rsidR="004205C2" w:rsidRDefault="006A4747">
      <w:pPr>
        <w:pStyle w:val="Textoindependiente"/>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num>
            <m:den>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den>
          </m:f>
          <m:r>
            <m:rPr>
              <m:sty m:val="p"/>
            </m:rPr>
            <w:rPr>
              <w:rFonts w:ascii="Cambria Math" w:hAnsi="Cambria Math"/>
            </w:rPr>
            <m:t>exp</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a</m:t>
                      </m:r>
                    </m:e>
                    <m:sub>
                      <m:r>
                        <w:rPr>
                          <w:rFonts w:ascii="Cambria Math" w:hAnsi="Cambria Math"/>
                        </w:rPr>
                        <m:t>I</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e>
          </m:d>
          <m:r>
            <w:rPr>
              <w:rFonts w:ascii="Cambria Math" w:hAnsi="Cambria Math"/>
            </w:rPr>
            <m:t>  </m:t>
          </m:r>
          <m:d>
            <m:dPr>
              <m:ctrlPr>
                <w:rPr>
                  <w:rFonts w:ascii="Cambria Math" w:hAnsi="Cambria Math"/>
                </w:rPr>
              </m:ctrlPr>
            </m:dPr>
            <m:e>
              <m:r>
                <w:rPr>
                  <w:rFonts w:ascii="Cambria Math" w:hAnsi="Cambria Math"/>
                </w:rPr>
                <m:t>4</m:t>
              </m:r>
            </m:e>
          </m:d>
        </m:oMath>
      </m:oMathPara>
      <w:bookmarkEnd w:id="5"/>
    </w:p>
    <w:p w14:paraId="5DA5DB4B" w14:textId="77777777" w:rsidR="004205C2" w:rsidRPr="00EE2BAF" w:rsidRDefault="006A4747">
      <w:pPr>
        <w:pStyle w:val="FirstParagraph"/>
        <w:rPr>
          <w:lang w:val="es-ES"/>
        </w:rPr>
      </w:pPr>
      <w:r w:rsidRPr="00EE2BAF">
        <w:rPr>
          <w:lang w:val="es-ES"/>
        </w:rPr>
        <w:t xml:space="preserve">donde el factor de descuento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oMath>
      <w:r w:rsidRPr="00EE2BAF">
        <w:rPr>
          <w:lang w:val="es-ES"/>
        </w:rPr>
        <w:t xml:space="preserve"> estoc</w:t>
      </w:r>
      <w:r w:rsidRPr="00EE2BAF">
        <w:rPr>
          <w:lang w:val="es-ES"/>
        </w:rPr>
        <w:t>ástico es función de lo siguiente:</w:t>
      </w:r>
    </w:p>
    <w:p w14:paraId="3EDAAC61" w14:textId="77777777" w:rsidR="004205C2" w:rsidRDefault="006A4747">
      <w:pPr>
        <w:pStyle w:val="Compact"/>
        <w:numPr>
          <w:ilvl w:val="0"/>
          <w:numId w:val="2"/>
        </w:numPr>
      </w:pP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sup>
            </m:sSup>
          </m:e>
        </m:nary>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oMath>
    </w:p>
    <w:p w14:paraId="6613E0CC" w14:textId="77777777" w:rsidR="004205C2" w:rsidRPr="00EE2BAF" w:rsidRDefault="006A4747">
      <w:pPr>
        <w:pStyle w:val="Compact"/>
        <w:numPr>
          <w:ilvl w:val="0"/>
          <w:numId w:val="2"/>
        </w:numPr>
        <w:rPr>
          <w:lang w:val="es-ES"/>
        </w:rPr>
      </w:pPr>
      <m:oMath>
        <m:sSub>
          <m:sSubPr>
            <m:ctrlPr>
              <w:rPr>
                <w:rFonts w:ascii="Cambria Math" w:hAnsi="Cambria Math"/>
              </w:rPr>
            </m:ctrlPr>
          </m:sSubPr>
          <m:e>
            <m:r>
              <w:rPr>
                <w:rFonts w:ascii="Cambria Math" w:hAnsi="Cambria Math"/>
              </w:rPr>
              <m:t>A</m:t>
            </m:r>
          </m:e>
          <m:sub>
            <m:d>
              <m:dPr>
                <m:ctrlPr>
                  <w:rPr>
                    <w:rFonts w:ascii="Cambria Math" w:hAnsi="Cambria Math"/>
                  </w:rPr>
                </m:ctrlPr>
              </m:dPr>
              <m:e>
                <m:r>
                  <m:rPr>
                    <m:sty m:val="p"/>
                  </m:rPr>
                  <w:rPr>
                    <w:rFonts w:ascii="Cambria Math" w:hAnsi="Cambria Math"/>
                    <w:lang w:val="es-ES"/>
                  </w:rPr>
                  <m:t>⋅</m:t>
                </m:r>
                <m:r>
                  <m:rPr>
                    <m:sty m:val="p"/>
                  </m:rPr>
                  <w:rPr>
                    <w:rFonts w:ascii="Cambria Math" w:hAnsi="Cambria Math"/>
                    <w:lang w:val="es-ES"/>
                  </w:rPr>
                  <m:t>,⋅</m:t>
                </m:r>
              </m:e>
            </m:d>
          </m:sub>
        </m:sSub>
      </m:oMath>
      <w:r w:rsidRPr="00EE2BAF">
        <w:rPr>
          <w:lang w:val="es-ES"/>
        </w:rPr>
        <w:t xml:space="preserve"> funciones deterministas dependientes de </w:t>
      </w:r>
      <m:oMath>
        <m:r>
          <w:rPr>
            <w:rFonts w:ascii="Cambria Math" w:hAnsi="Cambria Math"/>
          </w:rPr>
          <m:t>a</m:t>
        </m:r>
      </m:oMath>
      <w:r w:rsidRPr="00EE2BAF">
        <w:rPr>
          <w:lang w:val="es-ES"/>
        </w:rPr>
        <w:t xml:space="preserve"> y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EE2BAF">
        <w:rPr>
          <w:lang w:val="es-ES"/>
        </w:rPr>
        <w:t>.</w:t>
      </w:r>
    </w:p>
    <w:p w14:paraId="23A3F0F7" w14:textId="77777777" w:rsidR="004205C2" w:rsidRPr="00EE2BAF" w:rsidRDefault="006A4747">
      <w:pPr>
        <w:pStyle w:val="FirstParagraph"/>
        <w:rPr>
          <w:lang w:val="es-ES"/>
        </w:rPr>
      </w:pPr>
      <w:r w:rsidRPr="00EE2BAF">
        <w:rPr>
          <w:lang w:val="es-ES"/>
        </w:rPr>
        <w:t xml:space="preserve">Adicionalmente, el índice de precios de inflación </w:t>
      </w:r>
      <m:oMath>
        <m:r>
          <w:rPr>
            <w:rFonts w:ascii="Cambria Math" w:hAnsi="Cambria Math"/>
          </w:rPr>
          <m:t>I</m:t>
        </m:r>
        <m:d>
          <m:dPr>
            <m:ctrlPr>
              <w:rPr>
                <w:rFonts w:ascii="Cambria Math" w:hAnsi="Cambria Math"/>
              </w:rPr>
            </m:ctrlPr>
          </m:dPr>
          <m:e>
            <m:r>
              <w:rPr>
                <w:rFonts w:ascii="Cambria Math" w:hAnsi="Cambria Math"/>
              </w:rPr>
              <m:t>t</m:t>
            </m:r>
          </m:e>
        </m:d>
      </m:oMath>
      <w:r w:rsidRPr="00EE2BAF">
        <w:rPr>
          <w:lang w:val="es-ES"/>
        </w:rPr>
        <w:t xml:space="preserve"> </w:t>
      </w:r>
      <w:r w:rsidRPr="00EE2BAF">
        <w:rPr>
          <w:lang w:val="es-ES"/>
        </w:rPr>
        <w:t xml:space="preserve">(índice de precios al consumo) también es difundido en combinación con los anteriores factores de riesgo, siguiendo el GBM bajo la medida real </w:t>
      </w:r>
      <m:oMath>
        <m:r>
          <m:rPr>
            <m:scr m:val="double-struck"/>
            <m:sty m:val="p"/>
          </m:rPr>
          <w:rPr>
            <w:rFonts w:ascii="Cambria Math" w:hAnsi="Cambria Math"/>
            <w:lang w:val="es-ES"/>
          </w:rPr>
          <m:t>P</m:t>
        </m:r>
      </m:oMath>
      <w:r w:rsidRPr="00EE2BAF">
        <w:rPr>
          <w:lang w:val="es-ES"/>
        </w:rPr>
        <w:t>:</w:t>
      </w:r>
    </w:p>
    <w:p w14:paraId="635FFB0F" w14:textId="77777777" w:rsidR="004205C2" w:rsidRDefault="006A4747">
      <w:pPr>
        <w:pStyle w:val="Textoindependiente"/>
      </w:pPr>
      <w:bookmarkStart w:id="6" w:name="eq-GBM-InflationPriceIndex"/>
      <m:oMathPara>
        <m:oMathParaPr>
          <m:jc m:val="center"/>
        </m:oMathParaPr>
        <m:oMath>
          <m:r>
            <w:rPr>
              <w:rFonts w:ascii="Cambria Math" w:hAnsi="Cambria Math"/>
            </w:rPr>
            <m:t>I</m:t>
          </m:r>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d>
                <m:dPr>
                  <m:ctrlPr>
                    <w:rPr>
                      <w:rFonts w:ascii="Cambria Math" w:hAnsi="Cambria Math"/>
                    </w:rPr>
                  </m:ctrlPr>
                </m:dPr>
                <m:e>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den>
                  </m:f>
                </m:e>
              </m:d>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W</m:t>
                  </m:r>
                </m:e>
                <m:sup>
                  <m:r>
                    <m:rPr>
                      <m:scr m:val="double-struck"/>
                      <m:sty m:val="p"/>
                    </m:rPr>
                    <w:rPr>
                      <w:rFonts w:ascii="Cambria Math" w:hAnsi="Cambria Math"/>
                    </w:rPr>
                    <m:t>P</m:t>
                  </m:r>
                </m:sup>
              </m:sSup>
              <m:d>
                <m:dPr>
                  <m:ctrlPr>
                    <w:rPr>
                      <w:rFonts w:ascii="Cambria Math" w:hAnsi="Cambria Math"/>
                    </w:rPr>
                  </m:ctrlPr>
                </m:dPr>
                <m:e>
                  <m:r>
                    <w:rPr>
                      <w:rFonts w:ascii="Cambria Math" w:hAnsi="Cambria Math"/>
                    </w:rPr>
                    <m:t>t</m:t>
                  </m:r>
                </m:e>
              </m:d>
            </m:e>
          </m:d>
          <m:r>
            <w:rPr>
              <w:rFonts w:ascii="Cambria Math" w:hAnsi="Cambria Math"/>
            </w:rPr>
            <m:t>  </m:t>
          </m:r>
          <m:d>
            <m:dPr>
              <m:ctrlPr>
                <w:rPr>
                  <w:rFonts w:ascii="Cambria Math" w:hAnsi="Cambria Math"/>
                </w:rPr>
              </m:ctrlPr>
            </m:dPr>
            <m:e>
              <m:r>
                <w:rPr>
                  <w:rFonts w:ascii="Cambria Math" w:hAnsi="Cambria Math"/>
                </w:rPr>
                <m:t>5</m:t>
              </m:r>
            </m:e>
          </m:d>
        </m:oMath>
      </m:oMathPara>
      <w:bookmarkEnd w:id="6"/>
    </w:p>
    <w:p w14:paraId="742F6BA7" w14:textId="77777777" w:rsidR="004205C2" w:rsidRPr="00EE2BAF" w:rsidRDefault="006A4747">
      <w:pPr>
        <w:pStyle w:val="FirstParagraph"/>
        <w:rPr>
          <w:lang w:val="es-ES"/>
        </w:rPr>
      </w:pPr>
      <w:r w:rsidRPr="00EE2BAF">
        <w:rPr>
          <w:lang w:val="es-ES"/>
        </w:rPr>
        <w:t xml:space="preserve">donde </w:t>
      </w:r>
      <m:oMath>
        <m:r>
          <w:rPr>
            <w:rFonts w:ascii="Cambria Math" w:hAnsi="Cambria Math"/>
          </w:rPr>
          <m:t>σ</m:t>
        </m:r>
      </m:oMath>
      <w:r w:rsidRPr="00EE2BAF">
        <w:rPr>
          <w:lang w:val="es-ES"/>
        </w:rPr>
        <w:t xml:space="preserve"> es la volatilidad del índice de precios, mientras que </w:t>
      </w:r>
      <m:oMath>
        <m:r>
          <w:rPr>
            <w:rFonts w:ascii="Cambria Math" w:hAnsi="Cambria Math"/>
          </w:rPr>
          <m:t>μ</m:t>
        </m:r>
      </m:oMath>
      <w:r w:rsidRPr="00EE2BAF">
        <w:rPr>
          <w:lang w:val="es-ES"/>
        </w:rPr>
        <w:t xml:space="preserve"> es la tendencia h</w:t>
      </w:r>
      <w:r w:rsidRPr="00EE2BAF">
        <w:rPr>
          <w:lang w:val="es-ES"/>
        </w:rPr>
        <w:t>istórica del mismo índice.</w:t>
      </w:r>
    </w:p>
    <w:p w14:paraId="5A41D383" w14:textId="77777777" w:rsidR="004205C2" w:rsidRPr="00EE2BAF" w:rsidRDefault="006A4747">
      <w:pPr>
        <w:pStyle w:val="Ttulo2"/>
        <w:rPr>
          <w:lang w:val="es-ES"/>
        </w:rPr>
      </w:pPr>
      <w:bookmarkStart w:id="7" w:name="calibración-del-modelo-de-difusión-inf"/>
      <w:r w:rsidRPr="00EE2BAF">
        <w:rPr>
          <w:lang w:val="es-ES"/>
        </w:rPr>
        <w:lastRenderedPageBreak/>
        <w:t>Calibración del Modelo de Difusión INF</w:t>
      </w:r>
    </w:p>
    <w:p w14:paraId="2A5C2D85" w14:textId="77777777" w:rsidR="004205C2" w:rsidRPr="00EE2BAF" w:rsidRDefault="006A4747">
      <w:pPr>
        <w:pStyle w:val="FirstParagraph"/>
        <w:rPr>
          <w:lang w:val="es-ES"/>
        </w:rPr>
      </w:pPr>
      <w:r w:rsidRPr="00EE2BAF">
        <w:rPr>
          <w:lang w:val="es-ES"/>
        </w:rPr>
        <w:t>Los procesos difusivos para los tipos nominal y de inflación, así como del índice de precios de inflación dependen del conjunto de parámetros:</w:t>
      </w:r>
    </w:p>
    <w:p w14:paraId="2D4B147E" w14:textId="77777777" w:rsidR="004205C2" w:rsidRDefault="006A4747">
      <w:pPr>
        <w:pStyle w:val="Textoindependiente"/>
      </w:pPr>
      <m:oMathPara>
        <m:oMathParaPr>
          <m:jc m:val="center"/>
        </m:oMathParaPr>
        <m:oMath>
          <m:r>
            <m:rPr>
              <m:scr m:val="script"/>
              <m:sty m:val="p"/>
            </m:rP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ty m:val="p"/>
            </m:rPr>
            <w:rPr>
              <w:rFonts w:ascii="Cambria Math" w:hAnsi="Cambria Math"/>
            </w:rPr>
            <m:t>.</m:t>
          </m:r>
        </m:oMath>
      </m:oMathPara>
    </w:p>
    <w:p w14:paraId="345E030F" w14:textId="77777777" w:rsidR="004205C2" w:rsidRPr="00EE2BAF" w:rsidRDefault="006A4747">
      <w:pPr>
        <w:pStyle w:val="FirstParagraph"/>
        <w:rPr>
          <w:lang w:val="es-ES"/>
        </w:rPr>
      </w:pPr>
      <w:r w:rsidRPr="00EE2BAF">
        <w:rPr>
          <w:lang w:val="es-ES"/>
        </w:rPr>
        <w:t>La metodología de estimación de los parámetros de las difusiones que gobiernan la evolución de los distintos factores de riesgo es la siguiente:</w:t>
      </w:r>
    </w:p>
    <w:p w14:paraId="15A835C3" w14:textId="77777777" w:rsidR="004205C2" w:rsidRPr="00EE2BAF" w:rsidRDefault="006A4747">
      <w:pPr>
        <w:numPr>
          <w:ilvl w:val="0"/>
          <w:numId w:val="3"/>
        </w:numPr>
        <w:rPr>
          <w:lang w:val="es-ES"/>
        </w:rPr>
      </w:pPr>
      <w:r w:rsidRPr="00EE2BAF">
        <w:rPr>
          <w:lang w:val="es-ES"/>
        </w:rPr>
        <w:t xml:space="preserve">El par de parámetros </w:t>
      </w:r>
      <m:oMath>
        <m:d>
          <m:dPr>
            <m:ctrlPr>
              <w:rPr>
                <w:rFonts w:ascii="Cambria Math" w:hAnsi="Cambria Math"/>
              </w:rPr>
            </m:ctrlPr>
          </m:dPr>
          <m:e>
            <m:r>
              <w:rPr>
                <w:rFonts w:ascii="Cambria Math" w:hAnsi="Cambria Math"/>
              </w:rPr>
              <m:t>a</m:t>
            </m:r>
            <m:r>
              <m:rPr>
                <m:sty m:val="p"/>
              </m:rPr>
              <w:rPr>
                <w:rFonts w:ascii="Cambria Math" w:hAnsi="Cambria Math"/>
                <w:lang w:val="es-ES"/>
              </w:rPr>
              <m:t>,</m:t>
            </m:r>
            <m:r>
              <w:rPr>
                <w:rFonts w:ascii="Cambria Math" w:hAnsi="Cambria Math"/>
              </w:rPr>
              <m:t>σ</m:t>
            </m:r>
          </m:e>
        </m:d>
      </m:oMath>
      <w:r w:rsidRPr="00EE2BAF">
        <w:rPr>
          <w:lang w:val="es-ES"/>
        </w:rPr>
        <w:t xml:space="preserve"> asociado al tipo nominal, se estima según el detalle descrito para el caso de produc</w:t>
      </w:r>
      <w:r w:rsidRPr="00EE2BAF">
        <w:rPr>
          <w:lang w:val="es-ES"/>
        </w:rPr>
        <w:t>tos de tipos de interés IR, véase (</w:t>
      </w:r>
      <w:r w:rsidRPr="00EE2BAF">
        <w:rPr>
          <w:b/>
          <w:bCs/>
          <w:lang w:val="es-ES"/>
        </w:rPr>
        <w:t>CITAR OK</w:t>
      </w:r>
      <w:r w:rsidRPr="00EE2BAF">
        <w:rPr>
          <w:lang w:val="es-ES"/>
        </w:rPr>
        <w:t>).</w:t>
      </w:r>
    </w:p>
    <w:p w14:paraId="71232F1C" w14:textId="325AAF67" w:rsidR="004205C2" w:rsidRPr="00EE2BAF" w:rsidRDefault="006A4747">
      <w:pPr>
        <w:numPr>
          <w:ilvl w:val="0"/>
          <w:numId w:val="3"/>
        </w:numPr>
        <w:rPr>
          <w:lang w:val="es-ES"/>
        </w:rPr>
      </w:pPr>
      <w:r w:rsidRPr="00EE2BAF">
        <w:rPr>
          <w:lang w:val="es-ES"/>
        </w:rPr>
        <w:t>Se considera como buena aproximación que, a efectos de cálculo tanto de exposiciones crediticias como de CVA, los parámetros</w:t>
      </w:r>
      <w:r w:rsidRPr="00EE2BAF">
        <w:rPr>
          <w:lang w:val="es-ES"/>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lang w:val="es-ES"/>
              </w:rPr>
              <m:t>,</m:t>
            </m:r>
            <m:sSub>
              <m:sSubPr>
                <m:ctrlPr>
                  <w:rPr>
                    <w:rFonts w:ascii="Cambria Math" w:hAnsi="Cambria Math"/>
                  </w:rPr>
                </m:ctrlPr>
              </m:sSubPr>
              <m:e>
                <m:r>
                  <w:rPr>
                    <w:rFonts w:ascii="Cambria Math" w:hAnsi="Cambria Math"/>
                  </w:rPr>
                  <m:t>σ</m:t>
                </m:r>
              </m:e>
              <m:sub>
                <m:r>
                  <w:rPr>
                    <w:rFonts w:ascii="Cambria Math" w:hAnsi="Cambria Math"/>
                  </w:rPr>
                  <m:t>I</m:t>
                </m:r>
              </m:sub>
            </m:sSub>
          </m:e>
        </m:d>
      </m:oMath>
      <w:r w:rsidRPr="00EE2BAF">
        <w:rPr>
          <w:lang w:val="es-ES"/>
        </w:rPr>
        <w:t xml:space="preserve"> asociados a los tipos de inflación, tengan la misma estimación,</w:t>
      </w:r>
    </w:p>
    <w:p w14:paraId="6DD34AFE" w14:textId="77777777" w:rsidR="004205C2" w:rsidRDefault="006A4747">
      <w:pPr>
        <w:pStyle w:val="FirstParagraph"/>
      </w:pPr>
      <m:oMathPara>
        <m:oMathParaPr>
          <m:jc m:val="center"/>
        </m:oMathParaPr>
        <m:oMath>
          <m:acc>
            <m:accPr>
              <m:ctrlPr>
                <w:rPr>
                  <w:rFonts w:ascii="Cambria Math" w:hAnsi="Cambria Math"/>
                </w:rPr>
              </m:ctrlPr>
            </m:accPr>
            <m:e>
              <m:r>
                <w:rPr>
                  <w:rFonts w:ascii="Cambria Math" w:hAnsi="Cambria Math"/>
                </w:rPr>
                <m:t>a</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w:rPr>
              <w:rFonts w:ascii="Cambria Math" w:hAnsi="Cambria Math"/>
            </w:rPr>
            <m:t> </m:t>
          </m:r>
          <m:r>
            <m:rPr>
              <m:nor/>
            </m:rPr>
            <m:t>y</m:t>
          </m:r>
          <m:r>
            <w:rPr>
              <w:rFonts w:ascii="Cambria Math" w:hAnsi="Cambria Math"/>
            </w:rPr>
            <m:t> </m:t>
          </m:r>
          <m:acc>
            <m:accPr>
              <m:ctrlPr>
                <w:rPr>
                  <w:rFonts w:ascii="Cambria Math" w:hAnsi="Cambria Math"/>
                </w:rPr>
              </m:ctrlPr>
            </m:accPr>
            <m:e>
              <m:r>
                <w:rPr>
                  <w:rFonts w:ascii="Cambria Math" w:hAnsi="Cambria Math"/>
                </w:rPr>
                <m:t>σ</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I</m:t>
              </m:r>
            </m:sub>
          </m:sSub>
          <m:r>
            <w:rPr>
              <w:rFonts w:ascii="Cambria Math" w:hAnsi="Cambria Math"/>
            </w:rPr>
            <m:t> </m:t>
          </m:r>
          <m:r>
            <m:rPr>
              <m:sty m:val="p"/>
            </m:rPr>
            <w:rPr>
              <w:rFonts w:ascii="Cambria Math" w:hAnsi="Cambria Math"/>
            </w:rPr>
            <m:t>.</m:t>
          </m:r>
        </m:oMath>
      </m:oMathPara>
    </w:p>
    <w:p w14:paraId="5DF0DBFF" w14:textId="77777777" w:rsidR="004205C2" w:rsidRDefault="004205C2">
      <w:pPr>
        <w:pStyle w:val="FirstParagraph"/>
      </w:pPr>
    </w:p>
    <w:p w14:paraId="7C34AADD" w14:textId="5A5694A4" w:rsidR="004205C2" w:rsidRPr="00EE2BAF" w:rsidRDefault="006A4747">
      <w:pPr>
        <w:numPr>
          <w:ilvl w:val="0"/>
          <w:numId w:val="4"/>
        </w:numPr>
        <w:rPr>
          <w:lang w:val="es-ES"/>
        </w:rPr>
      </w:pPr>
      <w:r w:rsidRPr="00EE2BAF">
        <w:rPr>
          <w:lang w:val="es-ES"/>
        </w:rPr>
        <w:t>La correlación</w:t>
      </w:r>
      <w:r w:rsidRPr="00EE2BAF">
        <w:rPr>
          <w:lang w:val="es-ES"/>
        </w:rPr>
        <w:t xml:space="preserve"> </w:t>
      </w:r>
      <m:oMath>
        <m:r>
          <w:rPr>
            <w:rFonts w:ascii="Cambria Math" w:hAnsi="Cambria Math"/>
          </w:rPr>
          <m:t>ρ</m:t>
        </m:r>
      </m:oMath>
      <w:r w:rsidRPr="00EE2BAF">
        <w:rPr>
          <w:lang w:val="es-ES"/>
        </w:rPr>
        <w:t xml:space="preserve"> se estima mediante datos diarios del tipo </w:t>
      </w:r>
      <w:r>
        <w:rPr>
          <w:lang w:val="es-ES"/>
        </w:rPr>
        <w:t xml:space="preserve">cupón cero </w:t>
      </w:r>
      <w:r w:rsidRPr="00EE2BAF">
        <w:rPr>
          <w:lang w:val="es-ES"/>
        </w:rPr>
        <w:t xml:space="preserve">al plazo de </w:t>
      </w:r>
      <w:r w:rsidRPr="00EE2BAF">
        <w:rPr>
          <w:i/>
          <w:iCs/>
          <w:lang w:val="es-ES"/>
        </w:rPr>
        <w:t>XX</w:t>
      </w:r>
      <w:r w:rsidRPr="00EE2BAF">
        <w:rPr>
          <w:lang w:val="es-ES"/>
        </w:rPr>
        <w:t xml:space="preserve"> años y </w:t>
      </w:r>
      <w:r w:rsidRPr="006A4747">
        <w:rPr>
          <w:color w:val="FF0000"/>
          <w:lang w:val="es-ES"/>
        </w:rPr>
        <w:t>d</w:t>
      </w:r>
      <w:r w:rsidRPr="006A4747">
        <w:rPr>
          <w:color w:val="FF0000"/>
          <w:lang w:val="es-ES"/>
        </w:rPr>
        <w:t>el</w:t>
      </w:r>
      <w:r w:rsidRPr="00EE2BAF">
        <w:rPr>
          <w:lang w:val="es-ES"/>
        </w:rPr>
        <w:t xml:space="preserve"> tipo </w:t>
      </w:r>
      <w:proofErr w:type="spellStart"/>
      <w:r w:rsidRPr="00EE2BAF">
        <w:rPr>
          <w:lang w:val="es-ES"/>
        </w:rPr>
        <w:t>breakeven</w:t>
      </w:r>
      <w:proofErr w:type="spellEnd"/>
      <w:r w:rsidRPr="00EE2BAF">
        <w:rPr>
          <w:lang w:val="es-ES"/>
        </w:rPr>
        <w:t xml:space="preserve"> del swap de inflación </w:t>
      </w:r>
      <w:r w:rsidRPr="00EE2BAF">
        <w:rPr>
          <w:lang w:val="es-ES"/>
        </w:rPr>
        <w:t xml:space="preserve">cupón </w:t>
      </w:r>
      <w:r>
        <w:rPr>
          <w:lang w:val="es-ES"/>
        </w:rPr>
        <w:t xml:space="preserve">cero </w:t>
      </w:r>
      <w:r w:rsidRPr="00EE2BAF">
        <w:rPr>
          <w:lang w:val="es-ES"/>
        </w:rPr>
        <w:t>de mismo plazo utilizando una ventana muestral de un año.</w:t>
      </w:r>
    </w:p>
    <w:p w14:paraId="0B8BC957" w14:textId="5B27D8D5" w:rsidR="004205C2" w:rsidRPr="00EE2BAF" w:rsidRDefault="006A4747">
      <w:pPr>
        <w:numPr>
          <w:ilvl w:val="0"/>
          <w:numId w:val="4"/>
        </w:numPr>
        <w:rPr>
          <w:lang w:val="es-ES"/>
        </w:rPr>
      </w:pPr>
      <m:oMath>
        <m:r>
          <w:rPr>
            <w:rFonts w:ascii="Cambria Math" w:hAnsi="Cambria Math"/>
            <w:color w:val="FF0000"/>
          </w:rPr>
          <m:t>mu</m:t>
        </m:r>
      </m:oMath>
      <w:r w:rsidRPr="006A4747">
        <w:rPr>
          <w:color w:val="FF0000"/>
          <w:lang w:val="es-ES"/>
        </w:rPr>
        <w:t xml:space="preserve"> y </w:t>
      </w:r>
      <m:oMath>
        <m:r>
          <w:rPr>
            <w:rFonts w:ascii="Cambria Math" w:hAnsi="Cambria Math"/>
            <w:color w:val="FF0000"/>
          </w:rPr>
          <m:t>sigma</m:t>
        </m:r>
      </m:oMath>
      <w:r w:rsidRPr="006A4747">
        <w:rPr>
          <w:color w:val="FF0000"/>
          <w:lang w:val="es-ES"/>
        </w:rPr>
        <w:t xml:space="preserve"> </w:t>
      </w:r>
      <w:r w:rsidRPr="00EE2BAF">
        <w:rPr>
          <w:lang w:val="es-ES"/>
        </w:rPr>
        <w:t xml:space="preserve">se estiman mediante la serie mensual de cambios porcentuales </w:t>
      </w:r>
      <w:r w:rsidRPr="006A4747">
        <w:rPr>
          <w:color w:val="FF0000"/>
          <w:lang w:val="es-ES"/>
        </w:rPr>
        <w:t>del índice</w:t>
      </w:r>
      <w:r w:rsidRPr="006A4747">
        <w:rPr>
          <w:color w:val="FF0000"/>
          <w:lang w:val="es-ES"/>
        </w:rPr>
        <w:t xml:space="preserve"> de precios</w:t>
      </w:r>
      <w:r w:rsidRPr="00EE2BAF">
        <w:rPr>
          <w:lang w:val="es-ES"/>
        </w:rPr>
        <w:t xml:space="preserve"> de inflación publicados para una ventana muestral de un año.</w:t>
      </w:r>
    </w:p>
    <w:p w14:paraId="0CB7B532" w14:textId="77777777" w:rsidR="004205C2" w:rsidRPr="00EE2BAF" w:rsidRDefault="006A4747">
      <w:pPr>
        <w:pStyle w:val="FirstParagraph"/>
        <w:rPr>
          <w:lang w:val="es-ES"/>
        </w:rPr>
      </w:pPr>
      <w:r w:rsidRPr="00EE2BAF">
        <w:rPr>
          <w:lang w:val="es-ES"/>
        </w:rPr>
        <w:t xml:space="preserve">Adicionalmente, para la difusión del índice </w:t>
      </w:r>
      <m:oMath>
        <m:r>
          <w:rPr>
            <w:rFonts w:ascii="Cambria Math" w:hAnsi="Cambria Math"/>
          </w:rPr>
          <m:t>I</m:t>
        </m:r>
        <m:d>
          <m:dPr>
            <m:ctrlPr>
              <w:rPr>
                <w:rFonts w:ascii="Cambria Math" w:hAnsi="Cambria Math"/>
              </w:rPr>
            </m:ctrlPr>
          </m:dPr>
          <m:e>
            <m:r>
              <w:rPr>
                <w:rFonts w:ascii="Cambria Math" w:hAnsi="Cambria Math"/>
              </w:rPr>
              <m:t>t</m:t>
            </m:r>
          </m:e>
        </m:d>
      </m:oMath>
      <w:r w:rsidRPr="00EE2BAF">
        <w:rPr>
          <w:lang w:val="es-ES"/>
        </w:rPr>
        <w:t xml:space="preserve"> se realizan ajustes de estacionalidad deterministas aplicados </w:t>
      </w:r>
      <w:r w:rsidRPr="00EE2BAF">
        <w:rPr>
          <w:lang w:val="es-ES"/>
        </w:rPr>
        <w:t>a cada mes del calendario según corresponda. Así, los puntos intermedios de cada punto simulado del grid son interpolados linealmente para, posteriormente, aplicar dicho ajuste de estacionalidad.</w:t>
      </w:r>
    </w:p>
    <w:p w14:paraId="7EAF078B" w14:textId="77777777" w:rsidR="004205C2" w:rsidRPr="00EE2BAF" w:rsidRDefault="006A4747">
      <w:pPr>
        <w:pStyle w:val="Ttulo3"/>
        <w:rPr>
          <w:lang w:val="es-ES"/>
        </w:rPr>
      </w:pPr>
      <w:bookmarkStart w:id="8" w:name="correlaciones"/>
      <w:r w:rsidRPr="00EE2BAF">
        <w:rPr>
          <w:lang w:val="es-ES"/>
        </w:rPr>
        <w:t>Correlaciones</w:t>
      </w:r>
    </w:p>
    <w:p w14:paraId="1BC14B2C" w14:textId="77777777" w:rsidR="004205C2" w:rsidRPr="00EE2BAF" w:rsidRDefault="006A4747">
      <w:pPr>
        <w:pStyle w:val="FirstParagraph"/>
        <w:rPr>
          <w:lang w:val="es-ES"/>
        </w:rPr>
      </w:pPr>
      <w:r w:rsidRPr="00EE2BAF">
        <w:rPr>
          <w:lang w:val="es-ES"/>
        </w:rPr>
        <w:t xml:space="preserve">Como se ha descrito, la correlación </w:t>
      </w:r>
      <m:oMath>
        <m:r>
          <w:rPr>
            <w:rFonts w:ascii="Cambria Math" w:hAnsi="Cambria Math"/>
          </w:rPr>
          <m:t>ρ</m:t>
        </m:r>
      </m:oMath>
      <w:r w:rsidRPr="00EE2BAF">
        <w:rPr>
          <w:lang w:val="es-ES"/>
        </w:rPr>
        <w:t xml:space="preserve"> entre t</w:t>
      </w:r>
      <w:r w:rsidRPr="00EE2BAF">
        <w:rPr>
          <w:lang w:val="es-ES"/>
        </w:rPr>
        <w:t>ipos de interés nominales y tipos de inflación están considerados por el modelo DK y estimada según lo descrito anteriormente.</w:t>
      </w:r>
    </w:p>
    <w:p w14:paraId="616D8B35" w14:textId="77777777" w:rsidR="004205C2" w:rsidRPr="00EE2BAF" w:rsidRDefault="006A4747">
      <w:pPr>
        <w:pStyle w:val="Textoindependiente"/>
        <w:rPr>
          <w:lang w:val="es-ES"/>
        </w:rPr>
      </w:pPr>
      <w:r w:rsidRPr="00EE2BAF">
        <w:rPr>
          <w:lang w:val="es-ES"/>
        </w:rPr>
        <w:t>Además, en el cálculo las exposiciones de productos de inflación en el que el índice de precios esté denominado en una moneda dis</w:t>
      </w:r>
      <w:r w:rsidRPr="00EE2BAF">
        <w:rPr>
          <w:lang w:val="es-ES"/>
        </w:rPr>
        <w:t xml:space="preserve">tinta a la base, habrá que tener en cuenta la evolución del factor de riesgo del tipo de cambio FX </w:t>
      </w:r>
      <w:r w:rsidRPr="00EE2BAF">
        <w:rPr>
          <w:i/>
          <w:iCs/>
          <w:lang w:val="es-ES"/>
        </w:rPr>
        <w:t>per se</w:t>
      </w:r>
      <w:r w:rsidRPr="00EE2BAF">
        <w:rPr>
          <w:lang w:val="es-ES"/>
        </w:rPr>
        <w:t>. En ese caso, Las correlaciones relevantes son las mismas que se recogen en el (</w:t>
      </w:r>
      <w:proofErr w:type="gramStart"/>
      <w:r w:rsidRPr="00EE2BAF">
        <w:rPr>
          <w:b/>
          <w:bCs/>
          <w:lang w:val="es-ES"/>
        </w:rPr>
        <w:t>CITAR OK!!</w:t>
      </w:r>
      <w:proofErr w:type="gramEnd"/>
      <w:r w:rsidRPr="00EE2BAF">
        <w:rPr>
          <w:lang w:val="es-ES"/>
        </w:rPr>
        <w:t xml:space="preserve">) </w:t>
      </w:r>
      <w:r w:rsidRPr="00EE2BAF">
        <w:rPr>
          <w:i/>
          <w:iCs/>
          <w:lang w:val="es-ES"/>
        </w:rPr>
        <w:t>Modelos de Difusión para Instrumentos de Tipos de Cambio (</w:t>
      </w:r>
      <w:r w:rsidRPr="00EE2BAF">
        <w:rPr>
          <w:i/>
          <w:iCs/>
          <w:lang w:val="es-ES"/>
        </w:rPr>
        <w:t>FX)</w:t>
      </w:r>
      <w:r w:rsidRPr="00EE2BAF">
        <w:rPr>
          <w:lang w:val="es-ES"/>
        </w:rPr>
        <w:t xml:space="preserve"> así como su metodología de estimación.</w:t>
      </w:r>
    </w:p>
    <w:bookmarkEnd w:id="8"/>
    <w:bookmarkEnd w:id="7"/>
    <w:bookmarkEnd w:id="1"/>
    <w:sectPr w:rsidR="004205C2" w:rsidRPr="00EE2BA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6694F" w14:textId="77777777" w:rsidR="00000000" w:rsidRDefault="006A4747">
      <w:pPr>
        <w:spacing w:after="0"/>
      </w:pPr>
      <w:r>
        <w:separator/>
      </w:r>
    </w:p>
  </w:endnote>
  <w:endnote w:type="continuationSeparator" w:id="0">
    <w:p w14:paraId="3543B451" w14:textId="77777777" w:rsidR="00000000" w:rsidRDefault="006A47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2613F" w14:textId="77777777" w:rsidR="004205C2" w:rsidRDefault="006A4747">
      <w:r>
        <w:separator/>
      </w:r>
    </w:p>
  </w:footnote>
  <w:footnote w:type="continuationSeparator" w:id="0">
    <w:p w14:paraId="19BA41EF" w14:textId="77777777" w:rsidR="004205C2" w:rsidRDefault="006A47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4BEB8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5C2D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66A74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A7E0B23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303051788">
    <w:abstractNumId w:val="0"/>
  </w:num>
  <w:num w:numId="2" w16cid:durableId="1576475438">
    <w:abstractNumId w:val="1"/>
  </w:num>
  <w:num w:numId="3" w16cid:durableId="1028677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651561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5C2"/>
    <w:rsid w:val="004205C2"/>
    <w:rsid w:val="006A4747"/>
    <w:rsid w:val="00EE2B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B9172"/>
  <w15:docId w15:val="{CC4A203B-7B21-45E6-A4A1-47EB613EC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911</Words>
  <Characters>5015</Characters>
  <Application>Microsoft Office Word</Application>
  <DocSecurity>0</DocSecurity>
  <Lines>41</Lines>
  <Paragraphs>11</Paragraphs>
  <ScaleCrop>false</ScaleCrop>
  <Company>Grupo Caixabank</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de Difusión para Instrumentos de Inflación (INF)</dc:title>
  <dc:creator>LLUIS NAVARRO GIRBES</dc:creator>
  <cp:keywords/>
  <cp:lastModifiedBy>LLUIS NAVARRO GIRBES</cp:lastModifiedBy>
  <cp:revision>3</cp:revision>
  <dcterms:created xsi:type="dcterms:W3CDTF">2024-05-10T17:26:00Z</dcterms:created>
  <dcterms:modified xsi:type="dcterms:W3CDTF">2024-05-10T17:31:00Z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MSIP_Label_c2c11c9e-624c-4a75-9f78-0989052ff6ea_Enabled">
    <vt:lpwstr>true</vt:lpwstr>
  </property>
  <property fmtid="{D5CDD505-2E9C-101B-9397-08002B2CF9AE}" pid="9" name="MSIP_Label_c2c11c9e-624c-4a75-9f78-0989052ff6ea_SetDate">
    <vt:lpwstr>2024-05-10T17:25:48Z</vt:lpwstr>
  </property>
  <property fmtid="{D5CDD505-2E9C-101B-9397-08002B2CF9AE}" pid="10" name="MSIP_Label_c2c11c9e-624c-4a75-9f78-0989052ff6ea_Method">
    <vt:lpwstr>Standard</vt:lpwstr>
  </property>
  <property fmtid="{D5CDD505-2E9C-101B-9397-08002B2CF9AE}" pid="11" name="MSIP_Label_c2c11c9e-624c-4a75-9f78-0989052ff6ea_Name">
    <vt:lpwstr>c2c11c9e-624c-4a75-9f78-0989052ff6ea</vt:lpwstr>
  </property>
  <property fmtid="{D5CDD505-2E9C-101B-9397-08002B2CF9AE}" pid="12" name="MSIP_Label_c2c11c9e-624c-4a75-9f78-0989052ff6ea_SiteId">
    <vt:lpwstr>5df31d35-3ba9-481e-a3c8-ff9be3ee783b</vt:lpwstr>
  </property>
  <property fmtid="{D5CDD505-2E9C-101B-9397-08002B2CF9AE}" pid="13" name="MSIP_Label_c2c11c9e-624c-4a75-9f78-0989052ff6ea_ActionId">
    <vt:lpwstr>275e0ab2-f0ca-4c77-968b-399c59f97442</vt:lpwstr>
  </property>
  <property fmtid="{D5CDD505-2E9C-101B-9397-08002B2CF9AE}" pid="14" name="MSIP_Label_c2c11c9e-624c-4a75-9f78-0989052ff6ea_ContentBits">
    <vt:lpwstr>0</vt:lpwstr>
  </property>
</Properties>
</file>