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4D807AB1" w14:textId="34C52BD7" w:rsidR="00747163" w:rsidRDefault="005A2385" w:rsidP="003B7992">
      <w:pPr>
        <w:ind w:firstLine="0"/>
        <w:jc w:val="center"/>
        <w:rPr>
          <w:rFonts w:ascii="Times New Roman" w:eastAsiaTheme="majorEastAsia" w:hAnsi="Times New Roman" w:cs="Times New Roman"/>
          <w:b/>
          <w:sz w:val="24"/>
        </w:rPr>
      </w:pPr>
      <w:r w:rsidRPr="005A2385">
        <w:rPr>
          <w:rFonts w:ascii="Times New Roman" w:eastAsiaTheme="majorEastAsia" w:hAnsi="Times New Roman" w:cs="Times New Roman"/>
          <w:b/>
          <w:sz w:val="24"/>
        </w:rPr>
        <w:t>From Planning to Practice: Developing and Implementing IR, DR, and BC Strategies to Enhance Organizational Resilience and Cybersecurity Posture</w:t>
      </w:r>
    </w:p>
    <w:p w14:paraId="4C22202A" w14:textId="77777777" w:rsidR="003B7992" w:rsidRPr="00747163" w:rsidRDefault="003B7992" w:rsidP="003B7992">
      <w:pPr>
        <w:ind w:firstLine="0"/>
        <w:jc w:val="center"/>
      </w:pPr>
    </w:p>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6C0C0808"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4171E3">
        <w:rPr>
          <w:rFonts w:ascii="Times New Roman" w:hAnsi="Times New Roman" w:cs="Times New Roman"/>
          <w:sz w:val="24"/>
          <w:szCs w:val="24"/>
        </w:rPr>
        <w:t>5</w:t>
      </w:r>
      <w:r w:rsidR="00D85B4C" w:rsidRPr="00630C37">
        <w:rPr>
          <w:rFonts w:ascii="Times New Roman" w:hAnsi="Times New Roman" w:cs="Times New Roman"/>
          <w:sz w:val="24"/>
          <w:szCs w:val="24"/>
        </w:rPr>
        <w:t xml:space="preserve">: </w:t>
      </w:r>
      <w:r w:rsidR="00240572" w:rsidRPr="00240572">
        <w:rPr>
          <w:rFonts w:ascii="Times New Roman" w:hAnsi="Times New Roman" w:cs="Times New Roman"/>
          <w:sz w:val="24"/>
          <w:szCs w:val="24"/>
        </w:rPr>
        <w:t>Cybersecurity Continuity Planning</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1BDCEE45" w14:textId="7411B874" w:rsidR="00736948" w:rsidRDefault="005762F3" w:rsidP="00DB6A4A">
      <w:pPr>
        <w:pStyle w:val="Subtitle"/>
        <w:rPr>
          <w:rFonts w:ascii="Times New Roman" w:hAnsi="Times New Roman" w:cs="Times New Roman"/>
          <w:sz w:val="24"/>
          <w:szCs w:val="24"/>
        </w:rPr>
      </w:pPr>
      <w:r>
        <w:rPr>
          <w:rFonts w:ascii="Times New Roman" w:hAnsi="Times New Roman" w:cs="Times New Roman"/>
          <w:sz w:val="24"/>
          <w:szCs w:val="24"/>
        </w:rPr>
        <w:t xml:space="preserve">June </w:t>
      </w:r>
      <w:r w:rsidR="004D5164">
        <w:rPr>
          <w:rFonts w:ascii="Times New Roman" w:hAnsi="Times New Roman" w:cs="Times New Roman"/>
          <w:sz w:val="24"/>
          <w:szCs w:val="24"/>
        </w:rPr>
        <w:t>29</w:t>
      </w:r>
      <w:r>
        <w:rPr>
          <w:rFonts w:ascii="Times New Roman" w:hAnsi="Times New Roman" w:cs="Times New Roman"/>
          <w:sz w:val="24"/>
          <w:szCs w:val="24"/>
        </w:rPr>
        <w:t>, 2025</w:t>
      </w:r>
    </w:p>
    <w:p w14:paraId="6CA7A07A" w14:textId="77777777" w:rsidR="00736948" w:rsidRDefault="00736948" w:rsidP="00DB6A4A">
      <w:pPr>
        <w:pStyle w:val="Subtitle"/>
        <w:rPr>
          <w:rFonts w:ascii="Times New Roman" w:hAnsi="Times New Roman" w:cs="Times New Roman"/>
          <w:sz w:val="24"/>
          <w:szCs w:val="24"/>
        </w:rPr>
      </w:pPr>
    </w:p>
    <w:p w14:paraId="06AC1F51" w14:textId="77777777" w:rsidR="00736948" w:rsidRDefault="00736948" w:rsidP="00DB6A4A">
      <w:pPr>
        <w:pStyle w:val="Subtitle"/>
        <w:rPr>
          <w:rFonts w:ascii="Times New Roman" w:hAnsi="Times New Roman" w:cs="Times New Roman"/>
          <w:sz w:val="24"/>
          <w:szCs w:val="24"/>
        </w:rPr>
      </w:pPr>
    </w:p>
    <w:p w14:paraId="12B8D356" w14:textId="77777777" w:rsidR="00736948" w:rsidRDefault="00736948" w:rsidP="00DB6A4A">
      <w:pPr>
        <w:pStyle w:val="Subtitle"/>
        <w:rPr>
          <w:rFonts w:ascii="Times New Roman" w:hAnsi="Times New Roman" w:cs="Times New Roman"/>
          <w:sz w:val="24"/>
          <w:szCs w:val="24"/>
        </w:rPr>
      </w:pPr>
    </w:p>
    <w:p w14:paraId="54F57DFF" w14:textId="77777777" w:rsidR="00736948" w:rsidRDefault="00736948" w:rsidP="00DB6A4A">
      <w:pPr>
        <w:pStyle w:val="Subtitle"/>
        <w:rPr>
          <w:rFonts w:ascii="Times New Roman" w:hAnsi="Times New Roman" w:cs="Times New Roman"/>
          <w:sz w:val="24"/>
          <w:szCs w:val="24"/>
        </w:rPr>
      </w:pPr>
    </w:p>
    <w:p w14:paraId="46A3C887" w14:textId="77777777" w:rsidR="00736948" w:rsidRDefault="00736948" w:rsidP="00DB6A4A">
      <w:pPr>
        <w:pStyle w:val="Subtitle"/>
        <w:rPr>
          <w:rFonts w:ascii="Times New Roman" w:hAnsi="Times New Roman" w:cs="Times New Roman"/>
          <w:sz w:val="24"/>
          <w:szCs w:val="24"/>
        </w:rPr>
      </w:pPr>
    </w:p>
    <w:p w14:paraId="7637951E" w14:textId="77777777" w:rsidR="00736948" w:rsidRDefault="00736948" w:rsidP="00DB6A4A">
      <w:pPr>
        <w:pStyle w:val="Subtitle"/>
        <w:rPr>
          <w:rFonts w:ascii="Times New Roman" w:hAnsi="Times New Roman" w:cs="Times New Roman"/>
          <w:sz w:val="24"/>
          <w:szCs w:val="24"/>
        </w:rPr>
      </w:pPr>
    </w:p>
    <w:p w14:paraId="0F2A145A" w14:textId="77777777" w:rsidR="00736948" w:rsidRDefault="00736948" w:rsidP="00DB6A4A">
      <w:pPr>
        <w:pStyle w:val="Subtitle"/>
        <w:rPr>
          <w:rFonts w:ascii="Times New Roman" w:hAnsi="Times New Roman" w:cs="Times New Roman"/>
          <w:sz w:val="24"/>
          <w:szCs w:val="24"/>
        </w:rPr>
      </w:pPr>
    </w:p>
    <w:p w14:paraId="3A67FA76" w14:textId="77777777" w:rsidR="00736948" w:rsidRDefault="00736948" w:rsidP="00DB6A4A">
      <w:pPr>
        <w:pStyle w:val="Subtitle"/>
        <w:rPr>
          <w:rFonts w:ascii="Times New Roman" w:hAnsi="Times New Roman" w:cs="Times New Roman"/>
          <w:sz w:val="24"/>
          <w:szCs w:val="24"/>
        </w:rPr>
      </w:pPr>
    </w:p>
    <w:p w14:paraId="2079DC63" w14:textId="77777777" w:rsidR="00736948" w:rsidRDefault="00736948" w:rsidP="00DB6A4A">
      <w:pPr>
        <w:pStyle w:val="Subtitle"/>
        <w:rPr>
          <w:rFonts w:ascii="Times New Roman" w:hAnsi="Times New Roman" w:cs="Times New Roman"/>
          <w:sz w:val="24"/>
          <w:szCs w:val="24"/>
        </w:rPr>
      </w:pPr>
    </w:p>
    <w:p w14:paraId="29B2F201" w14:textId="77777777" w:rsidR="00736948" w:rsidRDefault="00736948" w:rsidP="00DB6A4A">
      <w:pPr>
        <w:pStyle w:val="Subtitle"/>
        <w:rPr>
          <w:rFonts w:ascii="Times New Roman" w:hAnsi="Times New Roman" w:cs="Times New Roman"/>
          <w:sz w:val="24"/>
          <w:szCs w:val="24"/>
        </w:rPr>
      </w:pPr>
    </w:p>
    <w:p w14:paraId="413D4980" w14:textId="77777777" w:rsidR="00736948" w:rsidRDefault="00736948" w:rsidP="00DB6A4A">
      <w:pPr>
        <w:pStyle w:val="Subtitle"/>
        <w:rPr>
          <w:rFonts w:ascii="Times New Roman" w:hAnsi="Times New Roman" w:cs="Times New Roman"/>
          <w:sz w:val="24"/>
          <w:szCs w:val="24"/>
        </w:rPr>
      </w:pPr>
    </w:p>
    <w:p w14:paraId="764FE0D4" w14:textId="77777777" w:rsidR="00B40A71" w:rsidRPr="00B40A71" w:rsidRDefault="00B40A71" w:rsidP="00513436">
      <w:pPr>
        <w:rPr>
          <w:rFonts w:ascii="Times New Roman" w:eastAsia="Calibri" w:hAnsi="Times New Roman" w:cs="Times New Roman"/>
          <w:sz w:val="24"/>
        </w:rPr>
      </w:pPr>
      <w:r w:rsidRPr="00B40A71">
        <w:rPr>
          <w:rFonts w:ascii="Times New Roman" w:eastAsia="Calibri" w:hAnsi="Times New Roman" w:cs="Times New Roman"/>
          <w:sz w:val="24"/>
        </w:rPr>
        <w:t>Contingency planning in cybersecurity involves preparing for and managing adverse events that can disrupt information systems and organizational operations. Whether malicious, accidental, or natural, the goal is to maintain operational continuity and safety. As cyber threats continue to grow in sophistication and impact, and system failures can abruptly halt business operations, contingency planning is indispensable for maintaining organizational resilience. At the heart of this effort are three interrelated strategies: Incident Response (IR), Disaster Recovery (DR), and Business Continuity (BC). IR focuses on detecting, responding to, and recovering from cybersecurity incidents. DR ensures that skilled teams can restore technology and data systems in the event of a disaster. BC encompasses the broader organizational capacity to continue mission-critical functions uninterrupted. This paper examines the importance, development, and implementation of these strategies, demonstrating how they collectively enhance organizational resilience and cybersecurity posture.</w:t>
      </w:r>
    </w:p>
    <w:p w14:paraId="71712C55" w14:textId="77777777" w:rsidR="00B40A71" w:rsidRPr="00B40A71" w:rsidRDefault="00B40A71" w:rsidP="00B40A71">
      <w:pPr>
        <w:rPr>
          <w:rFonts w:ascii="Times New Roman" w:eastAsia="Calibri" w:hAnsi="Times New Roman" w:cs="Times New Roman"/>
          <w:sz w:val="24"/>
        </w:rPr>
      </w:pPr>
    </w:p>
    <w:p w14:paraId="1DBEBAE2" w14:textId="77777777" w:rsidR="00B40A71" w:rsidRPr="00E25444" w:rsidRDefault="00B40A71" w:rsidP="002C1E14">
      <w:pPr>
        <w:ind w:firstLine="0"/>
        <w:rPr>
          <w:rFonts w:ascii="Times New Roman" w:eastAsia="Calibri" w:hAnsi="Times New Roman" w:cs="Times New Roman"/>
          <w:b/>
          <w:bCs/>
          <w:sz w:val="24"/>
        </w:rPr>
      </w:pPr>
      <w:r w:rsidRPr="00E25444">
        <w:rPr>
          <w:rFonts w:ascii="Times New Roman" w:eastAsia="Calibri" w:hAnsi="Times New Roman" w:cs="Times New Roman"/>
          <w:b/>
          <w:bCs/>
          <w:sz w:val="24"/>
        </w:rPr>
        <w:t>Incident Response (IR) Strategy</w:t>
      </w:r>
    </w:p>
    <w:p w14:paraId="39142946" w14:textId="77777777" w:rsidR="00B40A71" w:rsidRPr="00B40A71" w:rsidRDefault="00B40A71" w:rsidP="00513436">
      <w:pPr>
        <w:ind w:firstLine="360"/>
        <w:rPr>
          <w:rFonts w:ascii="Times New Roman" w:eastAsia="Calibri" w:hAnsi="Times New Roman" w:cs="Times New Roman"/>
          <w:sz w:val="24"/>
        </w:rPr>
      </w:pPr>
      <w:r w:rsidRPr="00B40A71">
        <w:rPr>
          <w:rFonts w:ascii="Times New Roman" w:eastAsia="Calibri" w:hAnsi="Times New Roman" w:cs="Times New Roman"/>
          <w:sz w:val="24"/>
        </w:rPr>
        <w:t>Incident Response (IR) is a structured method to managing security breaches or cyber threats. Its main objectives are to identify incidents quickly, contain their impact, eradicate threats, recover affected systems, and integrate lessons learned to improve future responses. The IR lifecycle comprises six phases:</w:t>
      </w:r>
    </w:p>
    <w:p w14:paraId="55802C9C" w14:textId="77777777" w:rsidR="00B40A71" w:rsidRPr="009E4DFA" w:rsidRDefault="00B40A71" w:rsidP="009E4DFA">
      <w:pPr>
        <w:pStyle w:val="ListParagraph"/>
        <w:numPr>
          <w:ilvl w:val="0"/>
          <w:numId w:val="17"/>
        </w:numPr>
        <w:rPr>
          <w:rFonts w:ascii="Times New Roman" w:eastAsia="Calibri" w:hAnsi="Times New Roman" w:cs="Times New Roman"/>
          <w:sz w:val="24"/>
        </w:rPr>
      </w:pPr>
      <w:r w:rsidRPr="009E4DFA">
        <w:rPr>
          <w:rFonts w:ascii="Times New Roman" w:eastAsia="Calibri" w:hAnsi="Times New Roman" w:cs="Times New Roman"/>
          <w:sz w:val="24"/>
        </w:rPr>
        <w:t>Preparation: Establishing policies, tools, roles, communication channels, and training to ensure readiness.</w:t>
      </w:r>
    </w:p>
    <w:p w14:paraId="313C2FC5" w14:textId="77777777" w:rsidR="00B40A71" w:rsidRPr="009E4DFA" w:rsidRDefault="00B40A71" w:rsidP="009E4DFA">
      <w:pPr>
        <w:pStyle w:val="ListParagraph"/>
        <w:numPr>
          <w:ilvl w:val="0"/>
          <w:numId w:val="17"/>
        </w:numPr>
        <w:rPr>
          <w:rFonts w:ascii="Times New Roman" w:eastAsia="Calibri" w:hAnsi="Times New Roman" w:cs="Times New Roman"/>
          <w:sz w:val="24"/>
        </w:rPr>
      </w:pPr>
      <w:r w:rsidRPr="009E4DFA">
        <w:rPr>
          <w:rFonts w:ascii="Times New Roman" w:eastAsia="Calibri" w:hAnsi="Times New Roman" w:cs="Times New Roman"/>
          <w:sz w:val="24"/>
        </w:rPr>
        <w:lastRenderedPageBreak/>
        <w:t>Detection &amp; Analysis: Monitoring systems for suspicious activity, analyzing alerts, and determining the nature and severity of potential incidents. SP 800-61r3 includes Machine learning-enhanced SIEM tools and behavior-based anomaly detection.</w:t>
      </w:r>
    </w:p>
    <w:p w14:paraId="6D015CE6" w14:textId="65AA6E9A" w:rsidR="00B40A71" w:rsidRPr="009E4DFA" w:rsidRDefault="00B40A71" w:rsidP="009E4DFA">
      <w:pPr>
        <w:pStyle w:val="ListParagraph"/>
        <w:numPr>
          <w:ilvl w:val="0"/>
          <w:numId w:val="17"/>
        </w:numPr>
        <w:rPr>
          <w:rFonts w:ascii="Times New Roman" w:eastAsia="Calibri" w:hAnsi="Times New Roman" w:cs="Times New Roman"/>
          <w:sz w:val="24"/>
        </w:rPr>
      </w:pPr>
      <w:r w:rsidRPr="009E4DFA">
        <w:rPr>
          <w:rFonts w:ascii="Times New Roman" w:eastAsia="Calibri" w:hAnsi="Times New Roman" w:cs="Times New Roman"/>
          <w:sz w:val="24"/>
        </w:rPr>
        <w:t xml:space="preserve">Containment: Short-term containment isolates infected assets to prevent further </w:t>
      </w:r>
      <w:r w:rsidR="003B6018" w:rsidRPr="009E4DFA">
        <w:rPr>
          <w:rFonts w:ascii="Times New Roman" w:eastAsia="Calibri" w:hAnsi="Times New Roman" w:cs="Times New Roman"/>
          <w:sz w:val="24"/>
        </w:rPr>
        <w:t>spread</w:t>
      </w:r>
      <w:r w:rsidRPr="009E4DFA">
        <w:rPr>
          <w:rFonts w:ascii="Times New Roman" w:eastAsia="Calibri" w:hAnsi="Times New Roman" w:cs="Times New Roman"/>
          <w:sz w:val="24"/>
        </w:rPr>
        <w:t>, while long-term efforts may involve segmenting networks or patching vulnerabilities. 800-61r3 stresses the importance of segmented architecture and coordinated incident suppression, especially in hybrid environments.</w:t>
      </w:r>
    </w:p>
    <w:p w14:paraId="6855D691" w14:textId="77777777" w:rsidR="00B40A71" w:rsidRPr="009E4DFA" w:rsidRDefault="00B40A71" w:rsidP="009E4DFA">
      <w:pPr>
        <w:pStyle w:val="ListParagraph"/>
        <w:numPr>
          <w:ilvl w:val="0"/>
          <w:numId w:val="17"/>
        </w:numPr>
        <w:rPr>
          <w:rFonts w:ascii="Times New Roman" w:eastAsia="Calibri" w:hAnsi="Times New Roman" w:cs="Times New Roman"/>
          <w:sz w:val="24"/>
        </w:rPr>
      </w:pPr>
      <w:r w:rsidRPr="009E4DFA">
        <w:rPr>
          <w:rFonts w:ascii="Times New Roman" w:eastAsia="Calibri" w:hAnsi="Times New Roman" w:cs="Times New Roman"/>
          <w:sz w:val="24"/>
        </w:rPr>
        <w:t>Eradication: Removing malware, closing exploited vulnerabilities, and ensuring systems are clean.</w:t>
      </w:r>
    </w:p>
    <w:p w14:paraId="401571FC" w14:textId="77777777" w:rsidR="00B40A71" w:rsidRPr="009E4DFA" w:rsidRDefault="00B40A71" w:rsidP="009E4DFA">
      <w:pPr>
        <w:pStyle w:val="ListParagraph"/>
        <w:numPr>
          <w:ilvl w:val="0"/>
          <w:numId w:val="17"/>
        </w:numPr>
        <w:rPr>
          <w:rFonts w:ascii="Times New Roman" w:eastAsia="Calibri" w:hAnsi="Times New Roman" w:cs="Times New Roman"/>
          <w:sz w:val="24"/>
        </w:rPr>
      </w:pPr>
      <w:r w:rsidRPr="009E4DFA">
        <w:rPr>
          <w:rFonts w:ascii="Times New Roman" w:eastAsia="Calibri" w:hAnsi="Times New Roman" w:cs="Times New Roman"/>
          <w:sz w:val="24"/>
        </w:rPr>
        <w:t>Recovery: Restoring systems to normal operations, validating their integrity, and continuously monitoring to confirm threat elimination.</w:t>
      </w:r>
    </w:p>
    <w:p w14:paraId="11C2AD50" w14:textId="77777777" w:rsidR="00B40A71" w:rsidRPr="009E4DFA" w:rsidRDefault="00B40A71" w:rsidP="009E4DFA">
      <w:pPr>
        <w:pStyle w:val="ListParagraph"/>
        <w:numPr>
          <w:ilvl w:val="0"/>
          <w:numId w:val="17"/>
        </w:numPr>
        <w:rPr>
          <w:rFonts w:ascii="Times New Roman" w:eastAsia="Calibri" w:hAnsi="Times New Roman" w:cs="Times New Roman"/>
          <w:sz w:val="24"/>
        </w:rPr>
      </w:pPr>
      <w:r w:rsidRPr="009E4DFA">
        <w:rPr>
          <w:rFonts w:ascii="Times New Roman" w:eastAsia="Calibri" w:hAnsi="Times New Roman" w:cs="Times New Roman"/>
          <w:sz w:val="24"/>
        </w:rPr>
        <w:t>Lessons Learned: Conduct post-incident reviews to reinforce successful controls, enhance detection capabilities, and refine policies. 800-63r1 mandates feedback loops into security architecture and ongoing metrics to evaluate response effectiveness.</w:t>
      </w:r>
    </w:p>
    <w:p w14:paraId="747F8497" w14:textId="77777777" w:rsidR="00B40A71" w:rsidRPr="00B40A71" w:rsidRDefault="00B40A71" w:rsidP="00B40A71">
      <w:pPr>
        <w:rPr>
          <w:rFonts w:ascii="Times New Roman" w:eastAsia="Calibri" w:hAnsi="Times New Roman" w:cs="Times New Roman"/>
          <w:sz w:val="24"/>
        </w:rPr>
      </w:pPr>
    </w:p>
    <w:p w14:paraId="5B0E8D57" w14:textId="77777777" w:rsidR="00B40A71" w:rsidRPr="00B40A71" w:rsidRDefault="00B40A71" w:rsidP="00513436">
      <w:pPr>
        <w:ind w:firstLine="360"/>
        <w:rPr>
          <w:rFonts w:ascii="Times New Roman" w:eastAsia="Calibri" w:hAnsi="Times New Roman" w:cs="Times New Roman"/>
          <w:sz w:val="24"/>
        </w:rPr>
      </w:pPr>
      <w:r w:rsidRPr="00B40A71">
        <w:rPr>
          <w:rFonts w:ascii="Times New Roman" w:eastAsia="Calibri" w:hAnsi="Times New Roman" w:cs="Times New Roman"/>
          <w:sz w:val="24"/>
        </w:rPr>
        <w:t>Implementation and testing of IR plans are critical. Establishing a Computer Security Incident Response Team (CSIRT) with clearly defined roles, documented policies, standard operating procedures, and communication processes is fundamental. Regular tabletop exercises and simulations enable organizations to detect gaps, validate workflows, and improve coordination under stress. NIST SP 800-61r3 promotes integrated exercises that simulate ransomware or supply chain intrusions, incorporating cross-departmental collaboration.</w:t>
      </w:r>
    </w:p>
    <w:p w14:paraId="58511F71" w14:textId="77777777" w:rsidR="00B40A71" w:rsidRPr="00B40A71" w:rsidRDefault="00B40A71" w:rsidP="00B40A71">
      <w:pPr>
        <w:rPr>
          <w:rFonts w:ascii="Times New Roman" w:eastAsia="Calibri" w:hAnsi="Times New Roman" w:cs="Times New Roman"/>
          <w:sz w:val="24"/>
        </w:rPr>
      </w:pPr>
      <w:r w:rsidRPr="00B40A71">
        <w:rPr>
          <w:rFonts w:ascii="Times New Roman" w:eastAsia="Calibri" w:hAnsi="Times New Roman" w:cs="Times New Roman"/>
          <w:sz w:val="24"/>
        </w:rPr>
        <w:t xml:space="preserve"> </w:t>
      </w:r>
    </w:p>
    <w:p w14:paraId="3B300DEA" w14:textId="77777777" w:rsidR="00B40A71" w:rsidRPr="00B40A71" w:rsidRDefault="00B40A71" w:rsidP="00513436">
      <w:pPr>
        <w:ind w:firstLine="360"/>
        <w:rPr>
          <w:rFonts w:ascii="Times New Roman" w:eastAsia="Calibri" w:hAnsi="Times New Roman" w:cs="Times New Roman"/>
          <w:sz w:val="24"/>
        </w:rPr>
      </w:pPr>
      <w:r w:rsidRPr="00B40A71">
        <w:rPr>
          <w:rFonts w:ascii="Times New Roman" w:eastAsia="Calibri" w:hAnsi="Times New Roman" w:cs="Times New Roman"/>
          <w:sz w:val="24"/>
        </w:rPr>
        <w:lastRenderedPageBreak/>
        <w:t>The 2021 Colonial Pipeline attack illustrates this point. During this incident, inadequate segmentation and IR readiness led to widespread disruption. The attack prompted federal initiatives emphasizing strong incident response strategies and modernization aligned with guidance found in NIST 800-61r3. This case highlights the importance of proactive detection, well-coordinated response, and resilient architecture. NIST SP 800‑61r3 emphasizes integrating IR into broader cybersecurity governance, with continuous learning and risk-informed metrics now embedded throughout the lifecycle. Organizations adhering to this updated guidance gain a more mature, proactive, and cyclical IR capability.</w:t>
      </w:r>
    </w:p>
    <w:p w14:paraId="3D929802" w14:textId="77777777" w:rsidR="00B40A71" w:rsidRPr="00B40A71" w:rsidRDefault="00B40A71" w:rsidP="00B40A71">
      <w:pPr>
        <w:rPr>
          <w:rFonts w:ascii="Times New Roman" w:eastAsia="Calibri" w:hAnsi="Times New Roman" w:cs="Times New Roman"/>
          <w:sz w:val="24"/>
        </w:rPr>
      </w:pPr>
    </w:p>
    <w:p w14:paraId="3BDE61F0" w14:textId="77777777" w:rsidR="00B40A71" w:rsidRPr="00E25444" w:rsidRDefault="00B40A71" w:rsidP="009E4DFA">
      <w:pPr>
        <w:ind w:firstLine="0"/>
        <w:rPr>
          <w:rFonts w:ascii="Times New Roman" w:eastAsia="Calibri" w:hAnsi="Times New Roman" w:cs="Times New Roman"/>
          <w:b/>
          <w:bCs/>
          <w:sz w:val="24"/>
        </w:rPr>
      </w:pPr>
      <w:r w:rsidRPr="00E25444">
        <w:rPr>
          <w:rFonts w:ascii="Times New Roman" w:eastAsia="Calibri" w:hAnsi="Times New Roman" w:cs="Times New Roman"/>
          <w:b/>
          <w:bCs/>
          <w:sz w:val="24"/>
        </w:rPr>
        <w:t>Disaster Recovery (DR) Strategy</w:t>
      </w:r>
    </w:p>
    <w:p w14:paraId="5D600C87" w14:textId="77777777" w:rsidR="00B40A71" w:rsidRPr="00B40A71" w:rsidRDefault="00B40A71" w:rsidP="00513436">
      <w:pPr>
        <w:ind w:firstLine="360"/>
        <w:rPr>
          <w:rFonts w:ascii="Times New Roman" w:eastAsia="Calibri" w:hAnsi="Times New Roman" w:cs="Times New Roman"/>
          <w:sz w:val="24"/>
        </w:rPr>
      </w:pPr>
      <w:r w:rsidRPr="00B40A71">
        <w:rPr>
          <w:rFonts w:ascii="Times New Roman" w:eastAsia="Calibri" w:hAnsi="Times New Roman" w:cs="Times New Roman"/>
          <w:sz w:val="24"/>
        </w:rPr>
        <w:t>Disaster Recovery is concerned explicitly with restoring and maintaining IT infrastructure following disruptive events, such as natural disasters, system failures, or cyberattacks. Unlike IR, which addresses attacks, DR focuses on resuming normal technical operations after widespread disruptions have occurred, and it is more narrowly scoped than BC, which addresses broader operational continuity. The key components of a DR strategy should include:</w:t>
      </w:r>
    </w:p>
    <w:p w14:paraId="48CD76CD" w14:textId="77777777" w:rsidR="00B40A71" w:rsidRPr="009E4DFA" w:rsidRDefault="00B40A71" w:rsidP="009E4DFA">
      <w:pPr>
        <w:pStyle w:val="ListParagraph"/>
        <w:numPr>
          <w:ilvl w:val="0"/>
          <w:numId w:val="18"/>
        </w:numPr>
        <w:rPr>
          <w:rFonts w:ascii="Times New Roman" w:eastAsia="Calibri" w:hAnsi="Times New Roman" w:cs="Times New Roman"/>
          <w:sz w:val="24"/>
        </w:rPr>
      </w:pPr>
      <w:r w:rsidRPr="009E4DFA">
        <w:rPr>
          <w:rFonts w:ascii="Times New Roman" w:eastAsia="Calibri" w:hAnsi="Times New Roman" w:cs="Times New Roman"/>
          <w:sz w:val="24"/>
        </w:rPr>
        <w:t>Recovery Time Objectives (RTOs): Maximum acceptable delay between an outage and system restoration.</w:t>
      </w:r>
    </w:p>
    <w:p w14:paraId="0D53758F" w14:textId="77777777" w:rsidR="00B40A71" w:rsidRPr="009E4DFA" w:rsidRDefault="00B40A71" w:rsidP="009E4DFA">
      <w:pPr>
        <w:pStyle w:val="ListParagraph"/>
        <w:numPr>
          <w:ilvl w:val="0"/>
          <w:numId w:val="18"/>
        </w:numPr>
        <w:rPr>
          <w:rFonts w:ascii="Times New Roman" w:eastAsia="Calibri" w:hAnsi="Times New Roman" w:cs="Times New Roman"/>
          <w:sz w:val="24"/>
        </w:rPr>
      </w:pPr>
      <w:r w:rsidRPr="009E4DFA">
        <w:rPr>
          <w:rFonts w:ascii="Times New Roman" w:eastAsia="Calibri" w:hAnsi="Times New Roman" w:cs="Times New Roman"/>
          <w:sz w:val="24"/>
        </w:rPr>
        <w:t>Recovery Point Objectives (RPOs): Maximum tolerable data loss measured backward in time.</w:t>
      </w:r>
    </w:p>
    <w:p w14:paraId="55D1B5AE" w14:textId="77777777" w:rsidR="00B40A71" w:rsidRPr="009E4DFA" w:rsidRDefault="00B40A71" w:rsidP="009E4DFA">
      <w:pPr>
        <w:pStyle w:val="ListParagraph"/>
        <w:numPr>
          <w:ilvl w:val="0"/>
          <w:numId w:val="18"/>
        </w:numPr>
        <w:rPr>
          <w:rFonts w:ascii="Times New Roman" w:eastAsia="Calibri" w:hAnsi="Times New Roman" w:cs="Times New Roman"/>
          <w:sz w:val="24"/>
        </w:rPr>
      </w:pPr>
      <w:r w:rsidRPr="009E4DFA">
        <w:rPr>
          <w:rFonts w:ascii="Times New Roman" w:eastAsia="Calibri" w:hAnsi="Times New Roman" w:cs="Times New Roman"/>
          <w:sz w:val="24"/>
        </w:rPr>
        <w:t>Backup Strategies: Regular, automated, and secure backups stored offsite or in the cloud.</w:t>
      </w:r>
    </w:p>
    <w:p w14:paraId="6933C008" w14:textId="77777777" w:rsidR="00B40A71" w:rsidRPr="009E4DFA" w:rsidRDefault="00B40A71" w:rsidP="009E4DFA">
      <w:pPr>
        <w:pStyle w:val="ListParagraph"/>
        <w:numPr>
          <w:ilvl w:val="0"/>
          <w:numId w:val="18"/>
        </w:numPr>
        <w:rPr>
          <w:rFonts w:ascii="Times New Roman" w:eastAsia="Calibri" w:hAnsi="Times New Roman" w:cs="Times New Roman"/>
          <w:sz w:val="24"/>
        </w:rPr>
      </w:pPr>
      <w:r w:rsidRPr="009E4DFA">
        <w:rPr>
          <w:rFonts w:ascii="Times New Roman" w:eastAsia="Calibri" w:hAnsi="Times New Roman" w:cs="Times New Roman"/>
          <w:sz w:val="24"/>
        </w:rPr>
        <w:t>Alternate Sites: Establishing warm or hot standby locations to resume operations quickly.</w:t>
      </w:r>
    </w:p>
    <w:p w14:paraId="015ADB5C" w14:textId="77777777" w:rsidR="00B40A71" w:rsidRPr="009E4DFA" w:rsidRDefault="00B40A71" w:rsidP="009E4DFA">
      <w:pPr>
        <w:pStyle w:val="ListParagraph"/>
        <w:numPr>
          <w:ilvl w:val="0"/>
          <w:numId w:val="18"/>
        </w:numPr>
        <w:rPr>
          <w:rFonts w:ascii="Times New Roman" w:eastAsia="Calibri" w:hAnsi="Times New Roman" w:cs="Times New Roman"/>
          <w:sz w:val="24"/>
        </w:rPr>
      </w:pPr>
      <w:r w:rsidRPr="009E4DFA">
        <w:rPr>
          <w:rFonts w:ascii="Times New Roman" w:eastAsia="Calibri" w:hAnsi="Times New Roman" w:cs="Times New Roman"/>
          <w:sz w:val="24"/>
        </w:rPr>
        <w:t>Failover Mechanisms: Automated systems to shift workloads rapidly with minimal manual intervention.</w:t>
      </w:r>
    </w:p>
    <w:p w14:paraId="05769660" w14:textId="5E83A3CF" w:rsidR="00B40A71" w:rsidRPr="00B40A71" w:rsidRDefault="00B40A71" w:rsidP="00513436">
      <w:pPr>
        <w:ind w:firstLine="360"/>
        <w:rPr>
          <w:rFonts w:ascii="Times New Roman" w:eastAsia="Calibri" w:hAnsi="Times New Roman" w:cs="Times New Roman"/>
          <w:sz w:val="24"/>
        </w:rPr>
      </w:pPr>
      <w:r w:rsidRPr="00B40A71">
        <w:rPr>
          <w:rFonts w:ascii="Times New Roman" w:eastAsia="Calibri" w:hAnsi="Times New Roman" w:cs="Times New Roman"/>
          <w:sz w:val="24"/>
        </w:rPr>
        <w:lastRenderedPageBreak/>
        <w:t>Threats that trigger DR activation may be natural disasters, such as floods or wildfires, that can cause significant damage to data centers. Cyberattacks, including ransomware or nation-state sabotage, may lock or corrupt critical data, and hardware failures and power outages can render systems inoperable. DR planning anticipates these scenarios and aligns RTOs and RPOs with the essential business processes. NIST 800-61r3 requires DR plans to account for distributed systems, cloud-native applications, and data privacy requirements.</w:t>
      </w:r>
      <w:r w:rsidR="00F3217E">
        <w:rPr>
          <w:rFonts w:ascii="Times New Roman" w:eastAsia="Calibri" w:hAnsi="Times New Roman" w:cs="Times New Roman"/>
          <w:sz w:val="24"/>
        </w:rPr>
        <w:t xml:space="preserve"> </w:t>
      </w:r>
      <w:r w:rsidRPr="00B40A71">
        <w:rPr>
          <w:rFonts w:ascii="Times New Roman" w:eastAsia="Calibri" w:hAnsi="Times New Roman" w:cs="Times New Roman"/>
          <w:sz w:val="24"/>
        </w:rPr>
        <w:t>A case study for DR planning is Equifax's 2017 breach that highlights DR planning deficiencies, leading to extended downtime and slower restoration processes, underscoring the importance of rigorous backup and swift recovery frameworks.</w:t>
      </w:r>
    </w:p>
    <w:p w14:paraId="317398D9" w14:textId="77777777" w:rsidR="00B40A71" w:rsidRPr="00B40A71" w:rsidRDefault="00B40A71" w:rsidP="00B40A71">
      <w:pPr>
        <w:rPr>
          <w:rFonts w:ascii="Times New Roman" w:eastAsia="Calibri" w:hAnsi="Times New Roman" w:cs="Times New Roman"/>
          <w:sz w:val="24"/>
        </w:rPr>
      </w:pPr>
    </w:p>
    <w:p w14:paraId="3ABB8A9C" w14:textId="77777777" w:rsidR="00B40A71" w:rsidRPr="00B40A71" w:rsidRDefault="00B40A71" w:rsidP="00513436">
      <w:pPr>
        <w:ind w:firstLine="360"/>
        <w:rPr>
          <w:rFonts w:ascii="Times New Roman" w:eastAsia="Calibri" w:hAnsi="Times New Roman" w:cs="Times New Roman"/>
          <w:sz w:val="24"/>
        </w:rPr>
      </w:pPr>
      <w:r w:rsidRPr="00B40A71">
        <w:rPr>
          <w:rFonts w:ascii="Times New Roman" w:eastAsia="Calibri" w:hAnsi="Times New Roman" w:cs="Times New Roman"/>
          <w:sz w:val="24"/>
        </w:rPr>
        <w:t>NIST SP 800-34 outlines DR plan testing procedures, which include full-interruption, parallel, and simulation tests. These are crucial for verifying that failover mechanisms, backup integrity, and resource prioritization align with organizational risk tolerance and business needs.</w:t>
      </w:r>
    </w:p>
    <w:p w14:paraId="47C14AFA" w14:textId="77777777" w:rsidR="00B40A71" w:rsidRPr="00B40A71" w:rsidRDefault="00B40A71" w:rsidP="00B40A71">
      <w:pPr>
        <w:rPr>
          <w:rFonts w:ascii="Times New Roman" w:eastAsia="Calibri" w:hAnsi="Times New Roman" w:cs="Times New Roman"/>
          <w:sz w:val="24"/>
        </w:rPr>
      </w:pPr>
    </w:p>
    <w:p w14:paraId="5D663D86" w14:textId="77777777" w:rsidR="00B40A71" w:rsidRPr="00E25444" w:rsidRDefault="00B40A71" w:rsidP="00806CF0">
      <w:pPr>
        <w:ind w:firstLine="0"/>
        <w:rPr>
          <w:rFonts w:ascii="Times New Roman" w:eastAsia="Calibri" w:hAnsi="Times New Roman" w:cs="Times New Roman"/>
          <w:b/>
          <w:bCs/>
          <w:sz w:val="24"/>
        </w:rPr>
      </w:pPr>
      <w:r w:rsidRPr="00E25444">
        <w:rPr>
          <w:rFonts w:ascii="Times New Roman" w:eastAsia="Calibri" w:hAnsi="Times New Roman" w:cs="Times New Roman"/>
          <w:b/>
          <w:bCs/>
          <w:sz w:val="24"/>
        </w:rPr>
        <w:t>Business Continuity (BC) Strategy</w:t>
      </w:r>
    </w:p>
    <w:p w14:paraId="36531C51" w14:textId="77777777" w:rsidR="00B40A71" w:rsidRPr="00B40A71" w:rsidRDefault="00B40A71" w:rsidP="00513436">
      <w:pPr>
        <w:rPr>
          <w:rFonts w:ascii="Times New Roman" w:eastAsia="Calibri" w:hAnsi="Times New Roman" w:cs="Times New Roman"/>
          <w:sz w:val="24"/>
        </w:rPr>
      </w:pPr>
      <w:r w:rsidRPr="00B40A71">
        <w:rPr>
          <w:rFonts w:ascii="Times New Roman" w:eastAsia="Calibri" w:hAnsi="Times New Roman" w:cs="Times New Roman"/>
          <w:sz w:val="24"/>
        </w:rPr>
        <w:t>Business Continuity addresses the whole operational landscape of an organization to maintain essential functions during disruption. BC ensures that the entire enterprise, including people, processes, facilities, and technology, can continue critical operations. IR and DR handle incident-specific and IT recovery.</w:t>
      </w:r>
    </w:p>
    <w:p w14:paraId="2D7212B6" w14:textId="77777777" w:rsidR="00B40A71" w:rsidRPr="00B40A71" w:rsidRDefault="00B40A71" w:rsidP="00B40A71">
      <w:pPr>
        <w:rPr>
          <w:rFonts w:ascii="Times New Roman" w:eastAsia="Calibri" w:hAnsi="Times New Roman" w:cs="Times New Roman"/>
          <w:sz w:val="24"/>
        </w:rPr>
      </w:pPr>
    </w:p>
    <w:p w14:paraId="0C44AE4E" w14:textId="77777777" w:rsidR="00B40A71" w:rsidRPr="00B40A71" w:rsidRDefault="00B40A71" w:rsidP="00513436">
      <w:pPr>
        <w:rPr>
          <w:rFonts w:ascii="Times New Roman" w:eastAsia="Calibri" w:hAnsi="Times New Roman" w:cs="Times New Roman"/>
          <w:sz w:val="24"/>
        </w:rPr>
      </w:pPr>
      <w:r w:rsidRPr="00B40A71">
        <w:rPr>
          <w:rFonts w:ascii="Times New Roman" w:eastAsia="Calibri" w:hAnsi="Times New Roman" w:cs="Times New Roman"/>
          <w:sz w:val="24"/>
        </w:rPr>
        <w:t xml:space="preserve">A critical part of BC is the Business Impact Analysis (BIA), which helps identify mission-critical functions, dependencies, and acceptable downtime thresholds. The BIA feeds into the Continuity of Operations Planning (COOP), which provides for alternative workflows, </w:t>
      </w:r>
      <w:r w:rsidRPr="00B40A71">
        <w:rPr>
          <w:rFonts w:ascii="Times New Roman" w:eastAsia="Calibri" w:hAnsi="Times New Roman" w:cs="Times New Roman"/>
          <w:sz w:val="24"/>
        </w:rPr>
        <w:lastRenderedPageBreak/>
        <w:t>relocation strategies, and cross-trained personnel. BC can involve enabling remote work during a building shutdown or using paper-based methods if digital systems are compromised. During the COVID-19 pandemic, many organizations pivoted to virtual operations. Those with robust BC plans adapted quickly, while those who didn't had prolonged disruptions. Studies have shown that organizations with integrated BC, IR, and DR frameworks experience significantly less overall impact during disruptions. Organizations are increasingly merging cybersecurity and business continuity teams to create cooperative playbooks and response strategies.</w:t>
      </w:r>
    </w:p>
    <w:p w14:paraId="41DFA62D" w14:textId="77777777" w:rsidR="00B40A71" w:rsidRPr="00B40A71" w:rsidRDefault="00B40A71" w:rsidP="00B40A71">
      <w:pPr>
        <w:rPr>
          <w:rFonts w:ascii="Times New Roman" w:eastAsia="Calibri" w:hAnsi="Times New Roman" w:cs="Times New Roman"/>
          <w:sz w:val="24"/>
        </w:rPr>
      </w:pPr>
    </w:p>
    <w:p w14:paraId="3BF6DCE5" w14:textId="77777777" w:rsidR="00B40A71" w:rsidRPr="00E25444" w:rsidRDefault="00B40A71" w:rsidP="008A0AA4">
      <w:pPr>
        <w:ind w:firstLine="0"/>
        <w:rPr>
          <w:rFonts w:ascii="Times New Roman" w:eastAsia="Calibri" w:hAnsi="Times New Roman" w:cs="Times New Roman"/>
          <w:b/>
          <w:bCs/>
          <w:sz w:val="24"/>
        </w:rPr>
      </w:pPr>
      <w:r w:rsidRPr="00E25444">
        <w:rPr>
          <w:rFonts w:ascii="Times New Roman" w:eastAsia="Calibri" w:hAnsi="Times New Roman" w:cs="Times New Roman"/>
          <w:b/>
          <w:bCs/>
          <w:sz w:val="24"/>
        </w:rPr>
        <w:t>Integration and Coordination</w:t>
      </w:r>
    </w:p>
    <w:p w14:paraId="08852126" w14:textId="77777777" w:rsidR="00B40A71" w:rsidRPr="00B40A71" w:rsidRDefault="00B40A71" w:rsidP="00513436">
      <w:pPr>
        <w:rPr>
          <w:rFonts w:ascii="Times New Roman" w:eastAsia="Calibri" w:hAnsi="Times New Roman" w:cs="Times New Roman"/>
          <w:sz w:val="24"/>
        </w:rPr>
      </w:pPr>
      <w:r w:rsidRPr="00B40A71">
        <w:rPr>
          <w:rFonts w:ascii="Times New Roman" w:eastAsia="Calibri" w:hAnsi="Times New Roman" w:cs="Times New Roman"/>
          <w:sz w:val="24"/>
        </w:rPr>
        <w:t>Security professionals must closely coordinate IR, DR, and BC strategies for maximum effectiveness. IR focuses on immediate incident handling, DR on technical restoration, and BC on maintaining ongoing operations. Their success depends on coordination, shared information, and aligned priorities.</w:t>
      </w:r>
    </w:p>
    <w:p w14:paraId="76556E1E" w14:textId="77777777" w:rsidR="00B40A71" w:rsidRPr="00B40A71" w:rsidRDefault="00B40A71" w:rsidP="00B40A71">
      <w:pPr>
        <w:rPr>
          <w:rFonts w:ascii="Times New Roman" w:eastAsia="Calibri" w:hAnsi="Times New Roman" w:cs="Times New Roman"/>
          <w:sz w:val="24"/>
        </w:rPr>
      </w:pPr>
    </w:p>
    <w:p w14:paraId="466E6165" w14:textId="77777777" w:rsidR="00B40A71" w:rsidRDefault="00B40A71" w:rsidP="00513436">
      <w:pPr>
        <w:rPr>
          <w:rFonts w:ascii="Times New Roman" w:eastAsia="Calibri" w:hAnsi="Times New Roman" w:cs="Times New Roman"/>
          <w:sz w:val="24"/>
        </w:rPr>
      </w:pPr>
      <w:r w:rsidRPr="00B40A71">
        <w:rPr>
          <w:rFonts w:ascii="Times New Roman" w:eastAsia="Calibri" w:hAnsi="Times New Roman" w:cs="Times New Roman"/>
          <w:sz w:val="24"/>
        </w:rPr>
        <w:t>NIST SP 800-61r3 and SP 800-34 emphasize the importance of cross-functional planning, testing, and communication. Exercises now include realistic ransomware scenarios involving finance, HR, IT, and legal departments. Communication plans must ensure that all stakeholders, from IT staff to senior executives, understand their roles during incidents.</w:t>
      </w:r>
    </w:p>
    <w:p w14:paraId="52C5BDD2" w14:textId="77777777" w:rsidR="00C25324" w:rsidRPr="00B40A71" w:rsidRDefault="00C25324" w:rsidP="008A0AA4">
      <w:pPr>
        <w:ind w:firstLine="0"/>
        <w:rPr>
          <w:rFonts w:ascii="Times New Roman" w:eastAsia="Calibri" w:hAnsi="Times New Roman" w:cs="Times New Roman"/>
          <w:sz w:val="24"/>
        </w:rPr>
      </w:pPr>
    </w:p>
    <w:p w14:paraId="139B3A22" w14:textId="1AC79D03" w:rsidR="00B40A71" w:rsidRPr="00B40A71" w:rsidRDefault="00B40A71" w:rsidP="00513436">
      <w:pPr>
        <w:rPr>
          <w:rFonts w:ascii="Times New Roman" w:eastAsia="Calibri" w:hAnsi="Times New Roman" w:cs="Times New Roman"/>
          <w:sz w:val="24"/>
        </w:rPr>
      </w:pPr>
      <w:r w:rsidRPr="00B40A71">
        <w:rPr>
          <w:rFonts w:ascii="Times New Roman" w:eastAsia="Calibri" w:hAnsi="Times New Roman" w:cs="Times New Roman"/>
          <w:sz w:val="24"/>
        </w:rPr>
        <w:t xml:space="preserve">Structured frameworks help align all components. NIST SP 800‑34 offers comprehensive contingency planning guidance. Frameworks like ISO 22301 and NIST CSF 2.0 emphasize the leadership responsibility for integrating resilience into governance and ensuring that continuity objectives support the organization's strategy. CMMC 2.0 requires documentation of incident </w:t>
      </w:r>
      <w:r w:rsidRPr="00B40A71">
        <w:rPr>
          <w:rFonts w:ascii="Times New Roman" w:eastAsia="Calibri" w:hAnsi="Times New Roman" w:cs="Times New Roman"/>
          <w:sz w:val="24"/>
        </w:rPr>
        <w:lastRenderedPageBreak/>
        <w:t>response capabilities and continuity planning as part of an audit and regulatory review.</w:t>
      </w:r>
      <w:r w:rsidR="00FF7735">
        <w:rPr>
          <w:rFonts w:ascii="Times New Roman" w:eastAsia="Calibri" w:hAnsi="Times New Roman" w:cs="Times New Roman"/>
          <w:sz w:val="24"/>
        </w:rPr>
        <w:t xml:space="preserve"> </w:t>
      </w:r>
      <w:r w:rsidRPr="00B40A71">
        <w:rPr>
          <w:rFonts w:ascii="Times New Roman" w:eastAsia="Calibri" w:hAnsi="Times New Roman" w:cs="Times New Roman"/>
          <w:sz w:val="24"/>
        </w:rPr>
        <w:t xml:space="preserve">Compliance with such standards not only strengthens an organization's posture but also enhances its legal defensibility, regulatory compliance, and stakeholder confidence. </w:t>
      </w:r>
    </w:p>
    <w:p w14:paraId="2CD9BEA8" w14:textId="77777777" w:rsidR="00C25324" w:rsidRDefault="00C25324" w:rsidP="00C25324">
      <w:pPr>
        <w:ind w:firstLine="0"/>
        <w:rPr>
          <w:rFonts w:ascii="Times New Roman" w:eastAsia="Calibri" w:hAnsi="Times New Roman" w:cs="Times New Roman"/>
          <w:sz w:val="24"/>
        </w:rPr>
      </w:pPr>
    </w:p>
    <w:p w14:paraId="5AD96FC7" w14:textId="739EC433" w:rsidR="00B40A71" w:rsidRPr="00E25444" w:rsidRDefault="00B40A71" w:rsidP="00C25324">
      <w:pPr>
        <w:ind w:firstLine="0"/>
        <w:rPr>
          <w:rFonts w:ascii="Times New Roman" w:eastAsia="Calibri" w:hAnsi="Times New Roman" w:cs="Times New Roman"/>
          <w:b/>
          <w:bCs/>
          <w:sz w:val="24"/>
        </w:rPr>
      </w:pPr>
      <w:r w:rsidRPr="00E25444">
        <w:rPr>
          <w:rFonts w:ascii="Times New Roman" w:eastAsia="Calibri" w:hAnsi="Times New Roman" w:cs="Times New Roman"/>
          <w:b/>
          <w:bCs/>
          <w:sz w:val="24"/>
        </w:rPr>
        <w:t>Conclusion</w:t>
      </w:r>
    </w:p>
    <w:p w14:paraId="67F22F29" w14:textId="6D9578A4" w:rsidR="00B40A71" w:rsidRPr="00B40A71" w:rsidRDefault="00B40A71" w:rsidP="00FF7735">
      <w:pPr>
        <w:rPr>
          <w:rFonts w:ascii="Times New Roman" w:eastAsia="Calibri" w:hAnsi="Times New Roman" w:cs="Times New Roman"/>
          <w:sz w:val="24"/>
        </w:rPr>
      </w:pPr>
      <w:r w:rsidRPr="00B40A71">
        <w:rPr>
          <w:rFonts w:ascii="Times New Roman" w:eastAsia="Calibri" w:hAnsi="Times New Roman" w:cs="Times New Roman"/>
          <w:sz w:val="24"/>
        </w:rPr>
        <w:t>Contingency strategies encompassing Incident Response, Disaster Recovery, and Business Continuity are foundational to cybersecurity resilience. Their coordinated implementation ensures that organizations can swiftly respond to threats, restore critical systems, and maintain operations in the face of adversity.</w:t>
      </w:r>
      <w:r w:rsidR="005441B1">
        <w:rPr>
          <w:rFonts w:ascii="Times New Roman" w:eastAsia="Calibri" w:hAnsi="Times New Roman" w:cs="Times New Roman"/>
          <w:sz w:val="24"/>
        </w:rPr>
        <w:t xml:space="preserve"> </w:t>
      </w:r>
      <w:r w:rsidRPr="00B40A71">
        <w:rPr>
          <w:rFonts w:ascii="Times New Roman" w:eastAsia="Calibri" w:hAnsi="Times New Roman" w:cs="Times New Roman"/>
          <w:sz w:val="24"/>
        </w:rPr>
        <w:t>Organizations should recognize contingency planning as a dynamic and evolving specialization. The adoption of frameworks like NIST SP 800‑61r3, SP 800‑34, and ISO 22301 provides a structured foundation, while regular testing, leadership commitment, cross-functional training, and lessons learned integration drive continuous improvement.</w:t>
      </w:r>
    </w:p>
    <w:p w14:paraId="510827C3" w14:textId="77777777" w:rsidR="00B40A71" w:rsidRPr="00B40A71" w:rsidRDefault="00B40A71" w:rsidP="00B40A71">
      <w:pPr>
        <w:rPr>
          <w:rFonts w:ascii="Times New Roman" w:eastAsia="Calibri" w:hAnsi="Times New Roman" w:cs="Times New Roman"/>
          <w:sz w:val="24"/>
        </w:rPr>
      </w:pPr>
    </w:p>
    <w:p w14:paraId="49C46298" w14:textId="40EA5355" w:rsidR="00736948" w:rsidRDefault="00B40A71" w:rsidP="00FF7735">
      <w:r w:rsidRPr="00B40A71">
        <w:rPr>
          <w:rFonts w:ascii="Times New Roman" w:eastAsia="Calibri" w:hAnsi="Times New Roman" w:cs="Times New Roman"/>
          <w:sz w:val="24"/>
        </w:rPr>
        <w:t>With the release of NIST SP 800-61r3, organizations are encouraged to modernize their IR capabilities by integrating automation, AI-driven analysis, and continuous improvement metrics. DR strategies must adapt to hybrid cloud environments and evolving threat landscapes. At the same time, BC planning must bridge the ability to anticipate, withstand, recover, and adapt to digital disruptions with an organization's ability to adjust quickly and effectively to changing conditions. By incorporating IR, DR, and BC, organizations not only recover but are also stronger in their capacity to withstand and respond to whatever challenges, digital or physical, may arise.</w:t>
      </w:r>
    </w:p>
    <w:p w14:paraId="45520D0E" w14:textId="77777777" w:rsidR="00736948" w:rsidRDefault="00736948" w:rsidP="00736948"/>
    <w:p w14:paraId="61916F65" w14:textId="77777777" w:rsidR="001B7DA8" w:rsidRDefault="001B7DA8" w:rsidP="001B7DA8">
      <w:pPr>
        <w:pStyle w:val="Subtitle"/>
        <w:jc w:val="left"/>
        <w:rPr>
          <w:rFonts w:ascii="Times New Roman" w:hAnsi="Times New Roman" w:cs="Times New Roman"/>
          <w:sz w:val="24"/>
        </w:rPr>
      </w:pPr>
    </w:p>
    <w:p w14:paraId="25A9ABDB" w14:textId="33C32C90" w:rsidR="00A417C1" w:rsidRDefault="004D5164" w:rsidP="001B7DA8">
      <w:pPr>
        <w:pStyle w:val="Subtitle"/>
        <w:rPr>
          <w:rFonts w:ascii="Times New Roman" w:hAnsi="Times New Roman" w:cs="Times New Roman"/>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EndPr/>
        <w:sdtContent>
          <w:r w:rsidR="00664C1A" w:rsidRPr="0006233B">
            <w:rPr>
              <w:rFonts w:ascii="Times New Roman" w:hAnsi="Times New Roman" w:cs="Times New Roman"/>
              <w:b/>
              <w:bCs/>
              <w:sz w:val="24"/>
            </w:rPr>
            <w:t>References</w:t>
          </w:r>
        </w:sdtContent>
      </w:sdt>
    </w:p>
    <w:p w14:paraId="4BF40509" w14:textId="075E77B0" w:rsidR="00A63BFE" w:rsidRDefault="00A63BFE" w:rsidP="001A50D0">
      <w:pPr>
        <w:ind w:left="720" w:hanging="720"/>
      </w:pPr>
      <w:r>
        <w:t xml:space="preserve">Whitman, M. E., &amp; </w:t>
      </w:r>
      <w:proofErr w:type="spellStart"/>
      <w:r>
        <w:t>Mattord</w:t>
      </w:r>
      <w:proofErr w:type="spellEnd"/>
      <w:r>
        <w:t>, H. J. (2021). Principles of incident response &amp; disaster recovery (</w:t>
      </w:r>
      <w:proofErr w:type="spellStart"/>
      <w:r>
        <w:t>mindtap</w:t>
      </w:r>
      <w:proofErr w:type="spellEnd"/>
      <w:r>
        <w:t xml:space="preserve"> course list) (3rd ed.). Cengage Learning.</w:t>
      </w:r>
    </w:p>
    <w:p w14:paraId="1972D365" w14:textId="77777777" w:rsidR="004B58FA" w:rsidRDefault="004B58FA" w:rsidP="001A50D0">
      <w:pPr>
        <w:ind w:left="720" w:hanging="720"/>
      </w:pPr>
      <w:r w:rsidRPr="009A289B">
        <w:t xml:space="preserve">NIST. (2025, April). </w:t>
      </w:r>
      <w:r w:rsidRPr="009A289B">
        <w:rPr>
          <w:i/>
          <w:iCs/>
        </w:rPr>
        <w:t xml:space="preserve">Incident response recommendations and considerations for cybersecurity risk management: A </w:t>
      </w:r>
      <w:proofErr w:type="spellStart"/>
      <w:r w:rsidRPr="009A289B">
        <w:rPr>
          <w:i/>
          <w:iCs/>
        </w:rPr>
        <w:t>csf</w:t>
      </w:r>
      <w:proofErr w:type="spellEnd"/>
      <w:r w:rsidRPr="009A289B">
        <w:rPr>
          <w:i/>
          <w:iCs/>
        </w:rPr>
        <w:t xml:space="preserve"> 2.0 community profile</w:t>
      </w:r>
      <w:r w:rsidRPr="009A289B">
        <w:t xml:space="preserve"> [PDF]. </w:t>
      </w:r>
      <w:hyperlink r:id="rId10" w:tgtFrame="_blank" w:history="1">
        <w:r w:rsidRPr="009A289B">
          <w:rPr>
            <w:rStyle w:val="Hyperlink"/>
          </w:rPr>
          <w:t>https://nvlpubs.nist.gov/nistpubs/SpecialPublications/NIST.SP.800-61r3.pdf</w:t>
        </w:r>
      </w:hyperlink>
    </w:p>
    <w:p w14:paraId="07168FFA" w14:textId="77777777" w:rsidR="005709FF" w:rsidRDefault="005709FF" w:rsidP="001A50D0">
      <w:pPr>
        <w:ind w:left="720" w:hanging="720"/>
      </w:pPr>
      <w:r w:rsidRPr="005709FF">
        <w:t xml:space="preserve">NIST. (2012, August). </w:t>
      </w:r>
      <w:r w:rsidRPr="005709FF">
        <w:rPr>
          <w:i/>
          <w:iCs/>
        </w:rPr>
        <w:t>Computer security incident handling guide</w:t>
      </w:r>
      <w:r w:rsidRPr="005709FF">
        <w:t xml:space="preserve"> [PDF]. </w:t>
      </w:r>
      <w:hyperlink r:id="rId11" w:tgtFrame="_blank" w:history="1">
        <w:r w:rsidRPr="005709FF">
          <w:rPr>
            <w:rStyle w:val="Hyperlink"/>
          </w:rPr>
          <w:t>https://nvlpubs.nist.gov/nistpubs/specialpublications/nist.sp.800-61r2.pdf</w:t>
        </w:r>
      </w:hyperlink>
    </w:p>
    <w:p w14:paraId="23F052CC" w14:textId="62A47D24" w:rsidR="004B58FA" w:rsidRDefault="004D5D44" w:rsidP="001A50D0">
      <w:pPr>
        <w:ind w:left="720" w:hanging="720"/>
      </w:pPr>
      <w:r w:rsidRPr="004D5D44">
        <w:t xml:space="preserve">Montauban, N. (2025, January 31). </w:t>
      </w:r>
      <w:r w:rsidRPr="004D5D44">
        <w:rPr>
          <w:i/>
          <w:iCs/>
        </w:rPr>
        <w:t>Nist 800-34 contingency planning: A practical guide to resilience</w:t>
      </w:r>
      <w:r w:rsidRPr="004D5D44">
        <w:t xml:space="preserve">. </w:t>
      </w:r>
      <w:proofErr w:type="spellStart"/>
      <w:r w:rsidRPr="004D5D44">
        <w:t>Codific</w:t>
      </w:r>
      <w:proofErr w:type="spellEnd"/>
      <w:r w:rsidRPr="004D5D44">
        <w:t xml:space="preserve">. </w:t>
      </w:r>
      <w:hyperlink r:id="rId12" w:tgtFrame="_blank" w:history="1">
        <w:r w:rsidRPr="004D5D44">
          <w:rPr>
            <w:rStyle w:val="Hyperlink"/>
          </w:rPr>
          <w:t>https://codific.com/nist-800-34-contingency-planning-a-practical-guide-to-resilience/</w:t>
        </w:r>
      </w:hyperlink>
    </w:p>
    <w:p w14:paraId="79D63E28" w14:textId="24B477DA" w:rsidR="004D5D44" w:rsidRDefault="005550DE" w:rsidP="001A50D0">
      <w:pPr>
        <w:ind w:left="720" w:hanging="720"/>
      </w:pPr>
      <w:r w:rsidRPr="005550DE">
        <w:t xml:space="preserve">Jain, V., &amp; Mitra, A. (2025, February). </w:t>
      </w:r>
      <w:r w:rsidRPr="005550DE">
        <w:rPr>
          <w:i/>
          <w:iCs/>
        </w:rPr>
        <w:t>enhancing resilience in business continuity management: Strategies and best practices</w:t>
      </w:r>
      <w:r w:rsidRPr="005550DE">
        <w:t xml:space="preserve">. ResearchGate. </w:t>
      </w:r>
      <w:hyperlink r:id="rId13" w:tgtFrame="_blank" w:history="1">
        <w:r w:rsidRPr="005550DE">
          <w:rPr>
            <w:rStyle w:val="Hyperlink"/>
          </w:rPr>
          <w:t>https://www.researchgate.net/publication/389000288_Enhancing_Resilience_in_Business_Continuity_Management_Strategies_and_Best_Practices</w:t>
        </w:r>
      </w:hyperlink>
    </w:p>
    <w:p w14:paraId="2CF9C684" w14:textId="6F64356C" w:rsidR="009A289B" w:rsidRDefault="00E36C0E" w:rsidP="00157B5F">
      <w:pPr>
        <w:ind w:left="720" w:hanging="720"/>
      </w:pPr>
      <w:r w:rsidRPr="00E36C0E">
        <w:t xml:space="preserve">Hitachi Vantara. (2024, November 7). </w:t>
      </w:r>
      <w:r w:rsidRPr="00E36C0E">
        <w:rPr>
          <w:i/>
          <w:iCs/>
        </w:rPr>
        <w:t>Ensure business continuity across enterprise</w:t>
      </w:r>
      <w:r w:rsidRPr="00E36C0E">
        <w:t xml:space="preserve"> [PDF]. </w:t>
      </w:r>
      <w:hyperlink r:id="rId14" w:tgtFrame="_blank" w:history="1">
        <w:r w:rsidRPr="00E36C0E">
          <w:rPr>
            <w:rStyle w:val="Hyperlink"/>
          </w:rPr>
          <w:t>https://www.hitachivantara.com/en-us/pdf/white-paper/ensure-business-continuity-across-enterprise.pdf</w:t>
        </w:r>
      </w:hyperlink>
    </w:p>
    <w:sectPr w:rsidR="009A289B" w:rsidSect="00F4790E">
      <w:headerReference w:type="default" r:id="rId15"/>
      <w:headerReference w:type="first" r:id="rId16"/>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7C979" w14:textId="77777777" w:rsidR="00E07C81" w:rsidRDefault="00E07C81">
      <w:pPr>
        <w:spacing w:line="240" w:lineRule="auto"/>
      </w:pPr>
      <w:r>
        <w:separator/>
      </w:r>
    </w:p>
    <w:p w14:paraId="43192776" w14:textId="77777777" w:rsidR="00E07C81" w:rsidRDefault="00E07C81"/>
  </w:endnote>
  <w:endnote w:type="continuationSeparator" w:id="0">
    <w:p w14:paraId="5431187F" w14:textId="77777777" w:rsidR="00E07C81" w:rsidRDefault="00E07C81">
      <w:pPr>
        <w:spacing w:line="240" w:lineRule="auto"/>
      </w:pPr>
      <w:r>
        <w:continuationSeparator/>
      </w:r>
    </w:p>
    <w:p w14:paraId="7A85B219" w14:textId="77777777" w:rsidR="00E07C81" w:rsidRDefault="00E07C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0C6F" w14:textId="77777777" w:rsidR="00E07C81" w:rsidRDefault="00E07C81">
      <w:pPr>
        <w:spacing w:line="240" w:lineRule="auto"/>
      </w:pPr>
      <w:r>
        <w:separator/>
      </w:r>
    </w:p>
    <w:p w14:paraId="040ACA15" w14:textId="77777777" w:rsidR="00E07C81" w:rsidRDefault="00E07C81"/>
  </w:footnote>
  <w:footnote w:type="continuationSeparator" w:id="0">
    <w:p w14:paraId="218F8468" w14:textId="77777777" w:rsidR="00E07C81" w:rsidRDefault="00E07C81">
      <w:pPr>
        <w:spacing w:line="240" w:lineRule="auto"/>
      </w:pPr>
      <w:r>
        <w:continuationSeparator/>
      </w:r>
    </w:p>
    <w:p w14:paraId="19D75E4E" w14:textId="77777777" w:rsidR="00E07C81" w:rsidRDefault="00E07C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936313"/>
    <w:multiLevelType w:val="hybridMultilevel"/>
    <w:tmpl w:val="20547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005C78"/>
    <w:multiLevelType w:val="hybridMultilevel"/>
    <w:tmpl w:val="6D1A1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B467C9"/>
    <w:multiLevelType w:val="hybridMultilevel"/>
    <w:tmpl w:val="8A4C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70EA7"/>
    <w:multiLevelType w:val="hybridMultilevel"/>
    <w:tmpl w:val="186E8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FA5AFE"/>
    <w:multiLevelType w:val="hybridMultilevel"/>
    <w:tmpl w:val="04C0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2178B"/>
    <w:multiLevelType w:val="hybridMultilevel"/>
    <w:tmpl w:val="ABB4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 w:numId="13" w16cid:durableId="1369185358">
    <w:abstractNumId w:val="14"/>
  </w:num>
  <w:num w:numId="14" w16cid:durableId="1007749806">
    <w:abstractNumId w:val="16"/>
  </w:num>
  <w:num w:numId="15" w16cid:durableId="1301809835">
    <w:abstractNumId w:val="15"/>
  </w:num>
  <w:num w:numId="16" w16cid:durableId="1006009243">
    <w:abstractNumId w:val="11"/>
  </w:num>
  <w:num w:numId="17" w16cid:durableId="1949458716">
    <w:abstractNumId w:val="12"/>
  </w:num>
  <w:num w:numId="18" w16cid:durableId="203905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1E0F"/>
    <w:rsid w:val="0003265C"/>
    <w:rsid w:val="00033072"/>
    <w:rsid w:val="0003536F"/>
    <w:rsid w:val="0003602E"/>
    <w:rsid w:val="00044F5F"/>
    <w:rsid w:val="00046A5B"/>
    <w:rsid w:val="00047926"/>
    <w:rsid w:val="0005250B"/>
    <w:rsid w:val="0006233B"/>
    <w:rsid w:val="000647BB"/>
    <w:rsid w:val="000703D7"/>
    <w:rsid w:val="00071F0C"/>
    <w:rsid w:val="000827B5"/>
    <w:rsid w:val="000827D2"/>
    <w:rsid w:val="00082DA7"/>
    <w:rsid w:val="000914C7"/>
    <w:rsid w:val="000A3D9B"/>
    <w:rsid w:val="000A5556"/>
    <w:rsid w:val="000A68C3"/>
    <w:rsid w:val="000C43E6"/>
    <w:rsid w:val="000C71CD"/>
    <w:rsid w:val="000D00B0"/>
    <w:rsid w:val="000D3AB8"/>
    <w:rsid w:val="000D43C9"/>
    <w:rsid w:val="000D4642"/>
    <w:rsid w:val="000D539D"/>
    <w:rsid w:val="000F6EE8"/>
    <w:rsid w:val="001004B7"/>
    <w:rsid w:val="00105A67"/>
    <w:rsid w:val="00111231"/>
    <w:rsid w:val="00116273"/>
    <w:rsid w:val="00121084"/>
    <w:rsid w:val="001243A9"/>
    <w:rsid w:val="00124CB1"/>
    <w:rsid w:val="00125ED7"/>
    <w:rsid w:val="00131593"/>
    <w:rsid w:val="00132572"/>
    <w:rsid w:val="00136DC9"/>
    <w:rsid w:val="001464CD"/>
    <w:rsid w:val="00157B5F"/>
    <w:rsid w:val="00161FB7"/>
    <w:rsid w:val="00165A80"/>
    <w:rsid w:val="00171D2E"/>
    <w:rsid w:val="00176B9C"/>
    <w:rsid w:val="001776FC"/>
    <w:rsid w:val="001815A0"/>
    <w:rsid w:val="00186530"/>
    <w:rsid w:val="00190C51"/>
    <w:rsid w:val="001A3F09"/>
    <w:rsid w:val="001A50D0"/>
    <w:rsid w:val="001A71B3"/>
    <w:rsid w:val="001B3A9D"/>
    <w:rsid w:val="001B5B71"/>
    <w:rsid w:val="001B5E40"/>
    <w:rsid w:val="001B67D4"/>
    <w:rsid w:val="001B7DA8"/>
    <w:rsid w:val="001C3741"/>
    <w:rsid w:val="001D4489"/>
    <w:rsid w:val="001D5A40"/>
    <w:rsid w:val="001E2FF9"/>
    <w:rsid w:val="001F01AB"/>
    <w:rsid w:val="001F10C5"/>
    <w:rsid w:val="001F6E8F"/>
    <w:rsid w:val="00201024"/>
    <w:rsid w:val="00201E6D"/>
    <w:rsid w:val="00205675"/>
    <w:rsid w:val="00205EC1"/>
    <w:rsid w:val="00210D58"/>
    <w:rsid w:val="00213F09"/>
    <w:rsid w:val="00233450"/>
    <w:rsid w:val="002379A8"/>
    <w:rsid w:val="00237F4E"/>
    <w:rsid w:val="00240572"/>
    <w:rsid w:val="00244191"/>
    <w:rsid w:val="0024433B"/>
    <w:rsid w:val="0024518C"/>
    <w:rsid w:val="0025057B"/>
    <w:rsid w:val="002505DD"/>
    <w:rsid w:val="002514F4"/>
    <w:rsid w:val="00254A3D"/>
    <w:rsid w:val="00262661"/>
    <w:rsid w:val="0027368A"/>
    <w:rsid w:val="00280964"/>
    <w:rsid w:val="002822E7"/>
    <w:rsid w:val="00286163"/>
    <w:rsid w:val="00286F05"/>
    <w:rsid w:val="00294CFF"/>
    <w:rsid w:val="002A41A4"/>
    <w:rsid w:val="002A754A"/>
    <w:rsid w:val="002B0D5B"/>
    <w:rsid w:val="002B153D"/>
    <w:rsid w:val="002C0F59"/>
    <w:rsid w:val="002C17B5"/>
    <w:rsid w:val="002C1A7A"/>
    <w:rsid w:val="002C1E14"/>
    <w:rsid w:val="002C3433"/>
    <w:rsid w:val="002C605D"/>
    <w:rsid w:val="002C697B"/>
    <w:rsid w:val="002C6CA6"/>
    <w:rsid w:val="002C79E6"/>
    <w:rsid w:val="002C7DAF"/>
    <w:rsid w:val="002D1D16"/>
    <w:rsid w:val="002D26EB"/>
    <w:rsid w:val="002D6A39"/>
    <w:rsid w:val="002E23C2"/>
    <w:rsid w:val="002F065E"/>
    <w:rsid w:val="002F3AE9"/>
    <w:rsid w:val="002F5A35"/>
    <w:rsid w:val="002F7292"/>
    <w:rsid w:val="0030062E"/>
    <w:rsid w:val="00304301"/>
    <w:rsid w:val="003046E5"/>
    <w:rsid w:val="003126BC"/>
    <w:rsid w:val="0031408F"/>
    <w:rsid w:val="003242D4"/>
    <w:rsid w:val="00325EBB"/>
    <w:rsid w:val="00331CBA"/>
    <w:rsid w:val="0034212F"/>
    <w:rsid w:val="003462E2"/>
    <w:rsid w:val="003537E7"/>
    <w:rsid w:val="00363640"/>
    <w:rsid w:val="00364DF3"/>
    <w:rsid w:val="00364ED4"/>
    <w:rsid w:val="003725D8"/>
    <w:rsid w:val="00373FA0"/>
    <w:rsid w:val="003804CC"/>
    <w:rsid w:val="00384ED0"/>
    <w:rsid w:val="003966F2"/>
    <w:rsid w:val="0039688B"/>
    <w:rsid w:val="003A40F9"/>
    <w:rsid w:val="003A7792"/>
    <w:rsid w:val="003B15C3"/>
    <w:rsid w:val="003B489C"/>
    <w:rsid w:val="003B6018"/>
    <w:rsid w:val="003B7992"/>
    <w:rsid w:val="003C0077"/>
    <w:rsid w:val="003C51D8"/>
    <w:rsid w:val="003D043B"/>
    <w:rsid w:val="003D4271"/>
    <w:rsid w:val="003E5E06"/>
    <w:rsid w:val="003F14D5"/>
    <w:rsid w:val="003F35C8"/>
    <w:rsid w:val="003F4BB9"/>
    <w:rsid w:val="003F72E6"/>
    <w:rsid w:val="004021E2"/>
    <w:rsid w:val="0040377D"/>
    <w:rsid w:val="004171E3"/>
    <w:rsid w:val="004174EF"/>
    <w:rsid w:val="00420F0D"/>
    <w:rsid w:val="00420F38"/>
    <w:rsid w:val="00421305"/>
    <w:rsid w:val="00432000"/>
    <w:rsid w:val="0043280D"/>
    <w:rsid w:val="004356EA"/>
    <w:rsid w:val="00462652"/>
    <w:rsid w:val="00462D4D"/>
    <w:rsid w:val="004635F6"/>
    <w:rsid w:val="00467414"/>
    <w:rsid w:val="00474E91"/>
    <w:rsid w:val="00486774"/>
    <w:rsid w:val="00487A3C"/>
    <w:rsid w:val="0049185A"/>
    <w:rsid w:val="00496657"/>
    <w:rsid w:val="00497987"/>
    <w:rsid w:val="004B52D4"/>
    <w:rsid w:val="004B58FA"/>
    <w:rsid w:val="004C1C6A"/>
    <w:rsid w:val="004C6053"/>
    <w:rsid w:val="004C68F7"/>
    <w:rsid w:val="004D1056"/>
    <w:rsid w:val="004D14BA"/>
    <w:rsid w:val="004D5164"/>
    <w:rsid w:val="004D5D44"/>
    <w:rsid w:val="004D67A8"/>
    <w:rsid w:val="004E3E88"/>
    <w:rsid w:val="004E4E02"/>
    <w:rsid w:val="004F1FD4"/>
    <w:rsid w:val="004F541E"/>
    <w:rsid w:val="004F7268"/>
    <w:rsid w:val="00500425"/>
    <w:rsid w:val="005058C2"/>
    <w:rsid w:val="00513436"/>
    <w:rsid w:val="005215D7"/>
    <w:rsid w:val="005251AB"/>
    <w:rsid w:val="00531B13"/>
    <w:rsid w:val="005441B1"/>
    <w:rsid w:val="0054494A"/>
    <w:rsid w:val="00551E2B"/>
    <w:rsid w:val="0055494D"/>
    <w:rsid w:val="005550DE"/>
    <w:rsid w:val="00562505"/>
    <w:rsid w:val="00562A90"/>
    <w:rsid w:val="00564A24"/>
    <w:rsid w:val="00564B6D"/>
    <w:rsid w:val="005651AE"/>
    <w:rsid w:val="005666D3"/>
    <w:rsid w:val="005709FF"/>
    <w:rsid w:val="00571242"/>
    <w:rsid w:val="005762F3"/>
    <w:rsid w:val="00576712"/>
    <w:rsid w:val="00580E81"/>
    <w:rsid w:val="005A0493"/>
    <w:rsid w:val="005A2385"/>
    <w:rsid w:val="005A4514"/>
    <w:rsid w:val="005C199E"/>
    <w:rsid w:val="005C3A39"/>
    <w:rsid w:val="005D3991"/>
    <w:rsid w:val="005D4A95"/>
    <w:rsid w:val="005D70B5"/>
    <w:rsid w:val="005E1AF8"/>
    <w:rsid w:val="005E38F9"/>
    <w:rsid w:val="005E51FB"/>
    <w:rsid w:val="005E7ADB"/>
    <w:rsid w:val="006009ED"/>
    <w:rsid w:val="00603FE4"/>
    <w:rsid w:val="00605032"/>
    <w:rsid w:val="00606994"/>
    <w:rsid w:val="0060713C"/>
    <w:rsid w:val="006125F3"/>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443E"/>
    <w:rsid w:val="00664C1A"/>
    <w:rsid w:val="006678E5"/>
    <w:rsid w:val="0068047E"/>
    <w:rsid w:val="00687F12"/>
    <w:rsid w:val="00694E98"/>
    <w:rsid w:val="006A15A0"/>
    <w:rsid w:val="006A55A2"/>
    <w:rsid w:val="006B0C4B"/>
    <w:rsid w:val="006B108A"/>
    <w:rsid w:val="006B7FA9"/>
    <w:rsid w:val="006E039C"/>
    <w:rsid w:val="006E20FF"/>
    <w:rsid w:val="006E351C"/>
    <w:rsid w:val="006E42D3"/>
    <w:rsid w:val="006E67BC"/>
    <w:rsid w:val="006F4230"/>
    <w:rsid w:val="006F4F08"/>
    <w:rsid w:val="007022BE"/>
    <w:rsid w:val="0071587F"/>
    <w:rsid w:val="00727936"/>
    <w:rsid w:val="0073675F"/>
    <w:rsid w:val="00736948"/>
    <w:rsid w:val="00736B2F"/>
    <w:rsid w:val="00747163"/>
    <w:rsid w:val="007476CF"/>
    <w:rsid w:val="00747C29"/>
    <w:rsid w:val="007519FE"/>
    <w:rsid w:val="00755002"/>
    <w:rsid w:val="007550FC"/>
    <w:rsid w:val="007577D5"/>
    <w:rsid w:val="00760964"/>
    <w:rsid w:val="00775937"/>
    <w:rsid w:val="0077742D"/>
    <w:rsid w:val="00777EA1"/>
    <w:rsid w:val="00781EF8"/>
    <w:rsid w:val="00783185"/>
    <w:rsid w:val="00790C5C"/>
    <w:rsid w:val="00793A86"/>
    <w:rsid w:val="00797255"/>
    <w:rsid w:val="00797273"/>
    <w:rsid w:val="007A125D"/>
    <w:rsid w:val="007A179C"/>
    <w:rsid w:val="007A359B"/>
    <w:rsid w:val="007B1495"/>
    <w:rsid w:val="007B1BE5"/>
    <w:rsid w:val="007B3A02"/>
    <w:rsid w:val="007C4402"/>
    <w:rsid w:val="007D1F80"/>
    <w:rsid w:val="007D35C6"/>
    <w:rsid w:val="007D3966"/>
    <w:rsid w:val="007D4AD3"/>
    <w:rsid w:val="007E23F4"/>
    <w:rsid w:val="007E4FF0"/>
    <w:rsid w:val="007F0CA2"/>
    <w:rsid w:val="007F62FC"/>
    <w:rsid w:val="00800D46"/>
    <w:rsid w:val="008026D4"/>
    <w:rsid w:val="008064CA"/>
    <w:rsid w:val="008064E9"/>
    <w:rsid w:val="00806CF0"/>
    <w:rsid w:val="008129DB"/>
    <w:rsid w:val="00817675"/>
    <w:rsid w:val="00832B2B"/>
    <w:rsid w:val="00837AF3"/>
    <w:rsid w:val="008419BC"/>
    <w:rsid w:val="008515CF"/>
    <w:rsid w:val="0085197D"/>
    <w:rsid w:val="00852A9D"/>
    <w:rsid w:val="00863F19"/>
    <w:rsid w:val="0086523B"/>
    <w:rsid w:val="008658DD"/>
    <w:rsid w:val="0087407D"/>
    <w:rsid w:val="00885E70"/>
    <w:rsid w:val="00886622"/>
    <w:rsid w:val="00887AE7"/>
    <w:rsid w:val="008906C0"/>
    <w:rsid w:val="00896D85"/>
    <w:rsid w:val="0089743D"/>
    <w:rsid w:val="008A0AA4"/>
    <w:rsid w:val="008A0FBD"/>
    <w:rsid w:val="008A12E1"/>
    <w:rsid w:val="008A1A29"/>
    <w:rsid w:val="008A30B7"/>
    <w:rsid w:val="008A3A7A"/>
    <w:rsid w:val="008B0D15"/>
    <w:rsid w:val="008C1F83"/>
    <w:rsid w:val="008C5418"/>
    <w:rsid w:val="008C7300"/>
    <w:rsid w:val="008D456A"/>
    <w:rsid w:val="008D56B1"/>
    <w:rsid w:val="008E5358"/>
    <w:rsid w:val="008F2962"/>
    <w:rsid w:val="008F2FA3"/>
    <w:rsid w:val="008F79E4"/>
    <w:rsid w:val="0090173E"/>
    <w:rsid w:val="00930AD3"/>
    <w:rsid w:val="009319BA"/>
    <w:rsid w:val="00940977"/>
    <w:rsid w:val="009460F9"/>
    <w:rsid w:val="00954DCE"/>
    <w:rsid w:val="00961ABD"/>
    <w:rsid w:val="00991B32"/>
    <w:rsid w:val="00991C34"/>
    <w:rsid w:val="00995F5A"/>
    <w:rsid w:val="0099682C"/>
    <w:rsid w:val="0099721E"/>
    <w:rsid w:val="009A257E"/>
    <w:rsid w:val="009A289B"/>
    <w:rsid w:val="009B5A36"/>
    <w:rsid w:val="009C3960"/>
    <w:rsid w:val="009C3BE2"/>
    <w:rsid w:val="009C4993"/>
    <w:rsid w:val="009D1351"/>
    <w:rsid w:val="009D2E3B"/>
    <w:rsid w:val="009D38EB"/>
    <w:rsid w:val="009E4DFA"/>
    <w:rsid w:val="009E6063"/>
    <w:rsid w:val="009F11DF"/>
    <w:rsid w:val="009F3B97"/>
    <w:rsid w:val="00A045CE"/>
    <w:rsid w:val="00A11491"/>
    <w:rsid w:val="00A25BB3"/>
    <w:rsid w:val="00A31AD8"/>
    <w:rsid w:val="00A33483"/>
    <w:rsid w:val="00A417C1"/>
    <w:rsid w:val="00A505B3"/>
    <w:rsid w:val="00A518F9"/>
    <w:rsid w:val="00A536C4"/>
    <w:rsid w:val="00A54626"/>
    <w:rsid w:val="00A57AB8"/>
    <w:rsid w:val="00A60762"/>
    <w:rsid w:val="00A6349D"/>
    <w:rsid w:val="00A63BFE"/>
    <w:rsid w:val="00A66DBF"/>
    <w:rsid w:val="00A673F2"/>
    <w:rsid w:val="00A67A6F"/>
    <w:rsid w:val="00A867B7"/>
    <w:rsid w:val="00A92F5D"/>
    <w:rsid w:val="00A93B41"/>
    <w:rsid w:val="00A96922"/>
    <w:rsid w:val="00AB113A"/>
    <w:rsid w:val="00AB3F73"/>
    <w:rsid w:val="00AB6E8E"/>
    <w:rsid w:val="00AC4D10"/>
    <w:rsid w:val="00AD0A7D"/>
    <w:rsid w:val="00AD21C6"/>
    <w:rsid w:val="00AD2C9F"/>
    <w:rsid w:val="00AE215B"/>
    <w:rsid w:val="00AE520A"/>
    <w:rsid w:val="00AE6FF4"/>
    <w:rsid w:val="00AF5DF4"/>
    <w:rsid w:val="00AF7BBF"/>
    <w:rsid w:val="00B03C72"/>
    <w:rsid w:val="00B05663"/>
    <w:rsid w:val="00B063F7"/>
    <w:rsid w:val="00B07053"/>
    <w:rsid w:val="00B138CC"/>
    <w:rsid w:val="00B163E6"/>
    <w:rsid w:val="00B3456E"/>
    <w:rsid w:val="00B36558"/>
    <w:rsid w:val="00B407FA"/>
    <w:rsid w:val="00B40A71"/>
    <w:rsid w:val="00B50E75"/>
    <w:rsid w:val="00B54870"/>
    <w:rsid w:val="00B674FD"/>
    <w:rsid w:val="00B82B54"/>
    <w:rsid w:val="00B863FB"/>
    <w:rsid w:val="00B86440"/>
    <w:rsid w:val="00B92C17"/>
    <w:rsid w:val="00B9395B"/>
    <w:rsid w:val="00B945D1"/>
    <w:rsid w:val="00BB2D6F"/>
    <w:rsid w:val="00BB6E51"/>
    <w:rsid w:val="00BC003A"/>
    <w:rsid w:val="00BC65BA"/>
    <w:rsid w:val="00BD519F"/>
    <w:rsid w:val="00BE12AC"/>
    <w:rsid w:val="00BE1816"/>
    <w:rsid w:val="00BE19F4"/>
    <w:rsid w:val="00BE4D36"/>
    <w:rsid w:val="00BE639C"/>
    <w:rsid w:val="00BF08E0"/>
    <w:rsid w:val="00BF0ED3"/>
    <w:rsid w:val="00BF25DA"/>
    <w:rsid w:val="00BF66AD"/>
    <w:rsid w:val="00C009D8"/>
    <w:rsid w:val="00C00F8F"/>
    <w:rsid w:val="00C03068"/>
    <w:rsid w:val="00C07114"/>
    <w:rsid w:val="00C25324"/>
    <w:rsid w:val="00C30531"/>
    <w:rsid w:val="00C4113A"/>
    <w:rsid w:val="00C41EBB"/>
    <w:rsid w:val="00C44E8B"/>
    <w:rsid w:val="00C45B09"/>
    <w:rsid w:val="00C47BAA"/>
    <w:rsid w:val="00C500E6"/>
    <w:rsid w:val="00C5449B"/>
    <w:rsid w:val="00C606BA"/>
    <w:rsid w:val="00C63177"/>
    <w:rsid w:val="00C6500E"/>
    <w:rsid w:val="00C65D80"/>
    <w:rsid w:val="00C76E78"/>
    <w:rsid w:val="00C85B3D"/>
    <w:rsid w:val="00C86DE0"/>
    <w:rsid w:val="00C91476"/>
    <w:rsid w:val="00C95418"/>
    <w:rsid w:val="00CA04BB"/>
    <w:rsid w:val="00CA5104"/>
    <w:rsid w:val="00CA6686"/>
    <w:rsid w:val="00CA7593"/>
    <w:rsid w:val="00CB2CFF"/>
    <w:rsid w:val="00CB6ADB"/>
    <w:rsid w:val="00CC0097"/>
    <w:rsid w:val="00CD19AA"/>
    <w:rsid w:val="00CD2F80"/>
    <w:rsid w:val="00CD4277"/>
    <w:rsid w:val="00CD6931"/>
    <w:rsid w:val="00CD72C3"/>
    <w:rsid w:val="00CE03F0"/>
    <w:rsid w:val="00CE1019"/>
    <w:rsid w:val="00CE5041"/>
    <w:rsid w:val="00CE5CCE"/>
    <w:rsid w:val="00CE7B15"/>
    <w:rsid w:val="00CF2047"/>
    <w:rsid w:val="00CF7CD2"/>
    <w:rsid w:val="00D04B1B"/>
    <w:rsid w:val="00D13ACE"/>
    <w:rsid w:val="00D14032"/>
    <w:rsid w:val="00D14958"/>
    <w:rsid w:val="00D17862"/>
    <w:rsid w:val="00D32BC6"/>
    <w:rsid w:val="00D37A9D"/>
    <w:rsid w:val="00D42585"/>
    <w:rsid w:val="00D470DD"/>
    <w:rsid w:val="00D47E99"/>
    <w:rsid w:val="00D50D2A"/>
    <w:rsid w:val="00D569CC"/>
    <w:rsid w:val="00D620FD"/>
    <w:rsid w:val="00D70583"/>
    <w:rsid w:val="00D7452E"/>
    <w:rsid w:val="00D85B4C"/>
    <w:rsid w:val="00D91044"/>
    <w:rsid w:val="00D93279"/>
    <w:rsid w:val="00D93331"/>
    <w:rsid w:val="00D93391"/>
    <w:rsid w:val="00D93FED"/>
    <w:rsid w:val="00DA41D6"/>
    <w:rsid w:val="00DA4543"/>
    <w:rsid w:val="00DB231C"/>
    <w:rsid w:val="00DB6A4A"/>
    <w:rsid w:val="00DC3940"/>
    <w:rsid w:val="00DC3B05"/>
    <w:rsid w:val="00DC6309"/>
    <w:rsid w:val="00DC7A81"/>
    <w:rsid w:val="00DD2227"/>
    <w:rsid w:val="00DD3D7A"/>
    <w:rsid w:val="00DD4FC1"/>
    <w:rsid w:val="00DD69A9"/>
    <w:rsid w:val="00DF06C9"/>
    <w:rsid w:val="00DF0855"/>
    <w:rsid w:val="00DF60D0"/>
    <w:rsid w:val="00E07C81"/>
    <w:rsid w:val="00E25444"/>
    <w:rsid w:val="00E320E7"/>
    <w:rsid w:val="00E366E0"/>
    <w:rsid w:val="00E36C0E"/>
    <w:rsid w:val="00E401F2"/>
    <w:rsid w:val="00E50C6E"/>
    <w:rsid w:val="00E5145E"/>
    <w:rsid w:val="00E52222"/>
    <w:rsid w:val="00E55B63"/>
    <w:rsid w:val="00E60664"/>
    <w:rsid w:val="00E62FA4"/>
    <w:rsid w:val="00E64EAE"/>
    <w:rsid w:val="00E67454"/>
    <w:rsid w:val="00E7148B"/>
    <w:rsid w:val="00E72245"/>
    <w:rsid w:val="00E73AD1"/>
    <w:rsid w:val="00E84455"/>
    <w:rsid w:val="00E85A26"/>
    <w:rsid w:val="00E90162"/>
    <w:rsid w:val="00EA510E"/>
    <w:rsid w:val="00EC189A"/>
    <w:rsid w:val="00EC57DE"/>
    <w:rsid w:val="00ED2863"/>
    <w:rsid w:val="00EE2770"/>
    <w:rsid w:val="00EE3717"/>
    <w:rsid w:val="00EF55C5"/>
    <w:rsid w:val="00F0036A"/>
    <w:rsid w:val="00F03B65"/>
    <w:rsid w:val="00F107F4"/>
    <w:rsid w:val="00F13A50"/>
    <w:rsid w:val="00F14E34"/>
    <w:rsid w:val="00F2136A"/>
    <w:rsid w:val="00F22A78"/>
    <w:rsid w:val="00F3038B"/>
    <w:rsid w:val="00F3217E"/>
    <w:rsid w:val="00F36C21"/>
    <w:rsid w:val="00F40CB2"/>
    <w:rsid w:val="00F45BCF"/>
    <w:rsid w:val="00F4790E"/>
    <w:rsid w:val="00F5132B"/>
    <w:rsid w:val="00F61A39"/>
    <w:rsid w:val="00F6242A"/>
    <w:rsid w:val="00F72067"/>
    <w:rsid w:val="00F74D60"/>
    <w:rsid w:val="00F92519"/>
    <w:rsid w:val="00FA087C"/>
    <w:rsid w:val="00FA515D"/>
    <w:rsid w:val="00FB18B4"/>
    <w:rsid w:val="00FB5EE5"/>
    <w:rsid w:val="00FC1164"/>
    <w:rsid w:val="00FC1B8C"/>
    <w:rsid w:val="00FC6365"/>
    <w:rsid w:val="00FC6A35"/>
    <w:rsid w:val="00FC79CC"/>
    <w:rsid w:val="00FC7A20"/>
    <w:rsid w:val="00FD0666"/>
    <w:rsid w:val="00FD2DA3"/>
    <w:rsid w:val="00FE623A"/>
    <w:rsid w:val="00FF1545"/>
    <w:rsid w:val="00FF4D1C"/>
    <w:rsid w:val="00FF55EC"/>
    <w:rsid w:val="00FF7735"/>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034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researchgate.net/publication/389000288_Enhancing_Resilience_in_Business_Continuity_Management_Strategies_and_Best_Practice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odific.com/nist-800-34-contingency-planning-a-practical-guide-to-resilienc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vlpubs.nist.gov/nistpubs/specialpublications/nist.sp.800-61r2.pdf"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nvlpubs.nist.gov/nistpubs/SpecialPublications/NIST.SP.800-61r3.pdf"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hitachivantara.com/en-us/pdf/white-paper/ensure-business-continuity-across-enterpris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2822E7"/>
    <w:rsid w:val="002C7DAF"/>
    <w:rsid w:val="002F0FC5"/>
    <w:rsid w:val="0034212F"/>
    <w:rsid w:val="003B5A2A"/>
    <w:rsid w:val="003D4271"/>
    <w:rsid w:val="0040377D"/>
    <w:rsid w:val="00524333"/>
    <w:rsid w:val="005E38F9"/>
    <w:rsid w:val="00603FE4"/>
    <w:rsid w:val="006A2777"/>
    <w:rsid w:val="007763D9"/>
    <w:rsid w:val="007E621E"/>
    <w:rsid w:val="008A30B7"/>
    <w:rsid w:val="008D799B"/>
    <w:rsid w:val="00954DCE"/>
    <w:rsid w:val="009B1EC2"/>
    <w:rsid w:val="00A51A05"/>
    <w:rsid w:val="00B54870"/>
    <w:rsid w:val="00B633EE"/>
    <w:rsid w:val="00B7235E"/>
    <w:rsid w:val="00B80D6C"/>
    <w:rsid w:val="00B9658D"/>
    <w:rsid w:val="00D42585"/>
    <w:rsid w:val="00E21512"/>
    <w:rsid w:val="00E50C6E"/>
    <w:rsid w:val="00E7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222</TotalTime>
  <Pages>8</Pages>
  <Words>1392</Words>
  <Characters>10440</Characters>
  <Application>Microsoft Office Word</Application>
  <DocSecurity>0</DocSecurity>
  <Lines>189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113</cp:revision>
  <dcterms:created xsi:type="dcterms:W3CDTF">2025-06-27T14:14:00Z</dcterms:created>
  <dcterms:modified xsi:type="dcterms:W3CDTF">2025-06-29T16:34:00Z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2c3bd7e8-d50a-47bb-bef2-97efca2f7d0b</vt:lpwstr>
  </property>
</Properties>
</file>