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30DF" w14:textId="77777777" w:rsidR="002C79E6" w:rsidRDefault="002C79E6" w:rsidP="002A754A">
      <w:pPr>
        <w:rPr>
          <w:rFonts w:ascii="Times New Roman" w:hAnsi="Times New Roman" w:cs="Times New Roman"/>
          <w:sz w:val="24"/>
        </w:rPr>
      </w:pPr>
    </w:p>
    <w:p w14:paraId="5F88A0B8" w14:textId="77777777" w:rsidR="0086523B" w:rsidRPr="000827D2" w:rsidRDefault="0086523B" w:rsidP="002A754A">
      <w:pPr>
        <w:rPr>
          <w:rFonts w:ascii="Times New Roman" w:hAnsi="Times New Roman" w:cs="Times New Roman"/>
          <w:sz w:val="24"/>
        </w:rPr>
      </w:pPr>
    </w:p>
    <w:p w14:paraId="7931C495" w14:textId="77777777" w:rsidR="002C79E6" w:rsidRPr="000827D2" w:rsidRDefault="002C79E6" w:rsidP="002A754A">
      <w:pPr>
        <w:rPr>
          <w:rFonts w:ascii="Times New Roman" w:hAnsi="Times New Roman" w:cs="Times New Roman"/>
          <w:sz w:val="24"/>
        </w:rPr>
      </w:pPr>
    </w:p>
    <w:p w14:paraId="054F85B6" w14:textId="77777777" w:rsidR="002C79E6" w:rsidRPr="000827D2" w:rsidRDefault="002C79E6" w:rsidP="002A754A">
      <w:pPr>
        <w:rPr>
          <w:rFonts w:ascii="Times New Roman" w:hAnsi="Times New Roman" w:cs="Times New Roman"/>
          <w:sz w:val="24"/>
        </w:rPr>
      </w:pPr>
    </w:p>
    <w:p w14:paraId="56C95B13" w14:textId="77777777" w:rsidR="002C79E6" w:rsidRPr="000827D2" w:rsidRDefault="002C79E6" w:rsidP="002A754A">
      <w:pPr>
        <w:rPr>
          <w:rFonts w:ascii="Times New Roman" w:hAnsi="Times New Roman" w:cs="Times New Roman"/>
          <w:sz w:val="24"/>
        </w:rPr>
      </w:pPr>
    </w:p>
    <w:p w14:paraId="05B7DE71" w14:textId="77777777" w:rsidR="002C79E6" w:rsidRPr="00630C37" w:rsidRDefault="002C79E6" w:rsidP="002A754A">
      <w:pPr>
        <w:rPr>
          <w:rFonts w:ascii="Times New Roman" w:hAnsi="Times New Roman" w:cs="Times New Roman"/>
          <w:sz w:val="24"/>
        </w:rPr>
      </w:pPr>
    </w:p>
    <w:p w14:paraId="3365E99B" w14:textId="77777777" w:rsidR="00031E0F" w:rsidRPr="00747163" w:rsidRDefault="00031E0F" w:rsidP="00031E0F">
      <w:pPr>
        <w:pStyle w:val="Subtitle"/>
      </w:pPr>
      <w:r>
        <w:rPr>
          <w:rFonts w:ascii="Times New Roman" w:eastAsiaTheme="majorEastAsia" w:hAnsi="Times New Roman" w:cs="Times New Roman"/>
          <w:b/>
          <w:sz w:val="24"/>
          <w:szCs w:val="24"/>
        </w:rPr>
        <w:t>IT Security Controls in Banking: Ensuring Compliance with the Gramm-Leach-Bliley Act</w:t>
      </w:r>
    </w:p>
    <w:p w14:paraId="4D807AB1" w14:textId="77777777" w:rsidR="00747163" w:rsidRPr="00747163" w:rsidRDefault="00747163" w:rsidP="00747163"/>
    <w:p w14:paraId="08E671F9" w14:textId="6FA92AB6" w:rsidR="00A417C1" w:rsidRPr="00630C37" w:rsidRDefault="00420F38" w:rsidP="002A754A">
      <w:pPr>
        <w:pStyle w:val="Subtitle"/>
        <w:rPr>
          <w:rFonts w:ascii="Times New Roman" w:hAnsi="Times New Roman" w:cs="Times New Roman"/>
          <w:sz w:val="24"/>
          <w:szCs w:val="24"/>
        </w:rPr>
      </w:pPr>
      <w:r w:rsidRPr="00630C37">
        <w:rPr>
          <w:rFonts w:ascii="Times New Roman" w:hAnsi="Times New Roman" w:cs="Times New Roman"/>
          <w:sz w:val="24"/>
          <w:szCs w:val="24"/>
        </w:rPr>
        <w:t>Bradley J. Adams</w:t>
      </w:r>
    </w:p>
    <w:p w14:paraId="0BAF2325" w14:textId="50174D3C" w:rsidR="002C79E6" w:rsidRPr="00630C37" w:rsidRDefault="00CB2CFF" w:rsidP="002A754A">
      <w:pPr>
        <w:pStyle w:val="Subtitle"/>
        <w:rPr>
          <w:rFonts w:ascii="Times New Roman" w:hAnsi="Times New Roman" w:cs="Times New Roman"/>
          <w:sz w:val="24"/>
          <w:szCs w:val="24"/>
        </w:rPr>
      </w:pPr>
      <w:r w:rsidRPr="00630C37">
        <w:rPr>
          <w:rFonts w:ascii="Times New Roman" w:hAnsi="Times New Roman" w:cs="Times New Roman"/>
          <w:sz w:val="24"/>
          <w:szCs w:val="24"/>
        </w:rPr>
        <w:t>Department of Mathematical, Computer, and Natural Sciences</w:t>
      </w:r>
      <w:r w:rsidR="00DF60D0" w:rsidRPr="00630C37">
        <w:rPr>
          <w:rFonts w:ascii="Times New Roman" w:hAnsi="Times New Roman" w:cs="Times New Roman"/>
          <w:sz w:val="24"/>
          <w:szCs w:val="24"/>
        </w:rPr>
        <w:t xml:space="preserve">, </w:t>
      </w:r>
      <w:r w:rsidR="00420F38" w:rsidRPr="00630C37">
        <w:rPr>
          <w:rFonts w:ascii="Times New Roman" w:hAnsi="Times New Roman" w:cs="Times New Roman"/>
          <w:sz w:val="24"/>
          <w:szCs w:val="24"/>
        </w:rPr>
        <w:t>Athens State University</w:t>
      </w:r>
    </w:p>
    <w:p w14:paraId="58E3F312" w14:textId="7C244B0B" w:rsidR="002C79E6" w:rsidRPr="00630C37" w:rsidRDefault="005C3A39" w:rsidP="002A754A">
      <w:pPr>
        <w:pStyle w:val="Subtitle"/>
        <w:rPr>
          <w:rFonts w:ascii="Times New Roman" w:hAnsi="Times New Roman" w:cs="Times New Roman"/>
          <w:sz w:val="24"/>
          <w:szCs w:val="24"/>
        </w:rPr>
      </w:pPr>
      <w:r w:rsidRPr="00630C37">
        <w:rPr>
          <w:rFonts w:ascii="Times New Roman" w:hAnsi="Times New Roman" w:cs="Times New Roman"/>
          <w:sz w:val="24"/>
          <w:szCs w:val="24"/>
        </w:rPr>
        <w:t>MCO</w:t>
      </w:r>
      <w:r w:rsidR="00D85B4C" w:rsidRPr="00630C37">
        <w:rPr>
          <w:rFonts w:ascii="Times New Roman" w:hAnsi="Times New Roman" w:cs="Times New Roman"/>
          <w:sz w:val="24"/>
          <w:szCs w:val="24"/>
        </w:rPr>
        <w:t xml:space="preserve"> 5</w:t>
      </w:r>
      <w:r w:rsidR="00D93391">
        <w:rPr>
          <w:rFonts w:ascii="Times New Roman" w:hAnsi="Times New Roman" w:cs="Times New Roman"/>
          <w:sz w:val="24"/>
          <w:szCs w:val="24"/>
        </w:rPr>
        <w:t>1</w:t>
      </w:r>
      <w:r w:rsidR="00D85B4C" w:rsidRPr="00630C37">
        <w:rPr>
          <w:rFonts w:ascii="Times New Roman" w:hAnsi="Times New Roman" w:cs="Times New Roman"/>
          <w:sz w:val="24"/>
          <w:szCs w:val="24"/>
        </w:rPr>
        <w:t xml:space="preserve">0: </w:t>
      </w:r>
      <w:r w:rsidR="00AE215B" w:rsidRPr="00AE215B">
        <w:rPr>
          <w:rFonts w:ascii="Times New Roman" w:hAnsi="Times New Roman" w:cs="Times New Roman"/>
          <w:sz w:val="24"/>
          <w:szCs w:val="24"/>
        </w:rPr>
        <w:t>Cybersecurity Policy</w:t>
      </w:r>
    </w:p>
    <w:p w14:paraId="3BF0CEF5" w14:textId="238C570C" w:rsidR="002C79E6" w:rsidRPr="00630C37" w:rsidRDefault="00C5449B" w:rsidP="002A754A">
      <w:pPr>
        <w:pStyle w:val="Subtitle"/>
        <w:rPr>
          <w:rFonts w:ascii="Times New Roman" w:hAnsi="Times New Roman" w:cs="Times New Roman"/>
          <w:sz w:val="24"/>
          <w:szCs w:val="24"/>
        </w:rPr>
      </w:pPr>
      <w:r w:rsidRPr="00630C37">
        <w:rPr>
          <w:rFonts w:ascii="Times New Roman" w:hAnsi="Times New Roman" w:cs="Times New Roman"/>
          <w:sz w:val="24"/>
          <w:szCs w:val="24"/>
        </w:rPr>
        <w:t xml:space="preserve">Dr. </w:t>
      </w:r>
      <w:r w:rsidR="00837AF3" w:rsidRPr="00630C37">
        <w:rPr>
          <w:rFonts w:ascii="Times New Roman" w:hAnsi="Times New Roman" w:cs="Times New Roman"/>
          <w:sz w:val="24"/>
          <w:szCs w:val="24"/>
        </w:rPr>
        <w:t>Darren Waldrep</w:t>
      </w:r>
    </w:p>
    <w:p w14:paraId="2040698B" w14:textId="0BF2B490" w:rsidR="201D26C8" w:rsidRPr="00630C37" w:rsidRDefault="00031E0F" w:rsidP="002A754A">
      <w:pPr>
        <w:pStyle w:val="Subtitle"/>
        <w:rPr>
          <w:rFonts w:ascii="Times New Roman" w:hAnsi="Times New Roman" w:cs="Times New Roman"/>
          <w:sz w:val="24"/>
          <w:szCs w:val="24"/>
        </w:rPr>
      </w:pPr>
      <w:r>
        <w:rPr>
          <w:rFonts w:ascii="Times New Roman" w:hAnsi="Times New Roman" w:cs="Times New Roman"/>
          <w:sz w:val="24"/>
          <w:szCs w:val="24"/>
        </w:rPr>
        <w:t>February</w:t>
      </w:r>
      <w:r w:rsidR="004B52D4">
        <w:rPr>
          <w:rFonts w:ascii="Times New Roman" w:hAnsi="Times New Roman" w:cs="Times New Roman"/>
          <w:sz w:val="24"/>
          <w:szCs w:val="24"/>
        </w:rPr>
        <w:t xml:space="preserve"> 2</w:t>
      </w:r>
      <w:r w:rsidR="00B9395B" w:rsidRPr="00630C37">
        <w:rPr>
          <w:rFonts w:ascii="Times New Roman" w:hAnsi="Times New Roman" w:cs="Times New Roman"/>
          <w:sz w:val="24"/>
          <w:szCs w:val="24"/>
        </w:rPr>
        <w:t>, 202</w:t>
      </w:r>
      <w:r w:rsidR="009F3B97">
        <w:rPr>
          <w:rFonts w:ascii="Times New Roman" w:hAnsi="Times New Roman" w:cs="Times New Roman"/>
          <w:sz w:val="24"/>
          <w:szCs w:val="24"/>
        </w:rPr>
        <w:t>5</w:t>
      </w:r>
    </w:p>
    <w:p w14:paraId="621DB97C" w14:textId="77777777" w:rsidR="201D26C8" w:rsidRPr="00630C37" w:rsidRDefault="201D26C8" w:rsidP="002A754A">
      <w:pPr>
        <w:pStyle w:val="Title2"/>
        <w:rPr>
          <w:rFonts w:ascii="Times New Roman" w:eastAsia="Calibri" w:hAnsi="Times New Roman" w:cs="Times New Roman"/>
          <w:sz w:val="24"/>
        </w:rPr>
      </w:pPr>
    </w:p>
    <w:p w14:paraId="2961A888" w14:textId="77777777" w:rsidR="201D26C8" w:rsidRPr="00630C37" w:rsidRDefault="201D26C8" w:rsidP="002A754A">
      <w:pPr>
        <w:pStyle w:val="Title2"/>
        <w:rPr>
          <w:rFonts w:ascii="Times New Roman" w:eastAsia="Calibri" w:hAnsi="Times New Roman" w:cs="Times New Roman"/>
          <w:sz w:val="24"/>
        </w:rPr>
      </w:pPr>
    </w:p>
    <w:p w14:paraId="228B451F" w14:textId="77777777" w:rsidR="201D26C8" w:rsidRPr="00630C37" w:rsidRDefault="201D26C8" w:rsidP="002A754A">
      <w:pPr>
        <w:pStyle w:val="Title2"/>
        <w:rPr>
          <w:rFonts w:ascii="Times New Roman" w:eastAsia="Calibri" w:hAnsi="Times New Roman" w:cs="Times New Roman"/>
          <w:sz w:val="24"/>
        </w:rPr>
      </w:pPr>
    </w:p>
    <w:p w14:paraId="53E77653" w14:textId="77777777" w:rsidR="201D26C8" w:rsidRPr="00630C37" w:rsidRDefault="201D26C8" w:rsidP="002A754A">
      <w:pPr>
        <w:pStyle w:val="Title2"/>
        <w:rPr>
          <w:rFonts w:ascii="Times New Roman" w:eastAsia="Calibri" w:hAnsi="Times New Roman" w:cs="Times New Roman"/>
          <w:sz w:val="24"/>
        </w:rPr>
      </w:pPr>
    </w:p>
    <w:p w14:paraId="71B3339A" w14:textId="77777777" w:rsidR="201D26C8" w:rsidRPr="00630C37" w:rsidRDefault="201D26C8" w:rsidP="002A754A">
      <w:pPr>
        <w:pStyle w:val="Title2"/>
        <w:rPr>
          <w:rFonts w:ascii="Times New Roman" w:eastAsia="Calibri" w:hAnsi="Times New Roman" w:cs="Times New Roman"/>
          <w:sz w:val="24"/>
        </w:rPr>
      </w:pPr>
    </w:p>
    <w:p w14:paraId="02CF98E7" w14:textId="77777777" w:rsidR="201D26C8" w:rsidRPr="00630C37" w:rsidRDefault="201D26C8" w:rsidP="002A754A">
      <w:pPr>
        <w:pStyle w:val="Title2"/>
        <w:rPr>
          <w:rFonts w:ascii="Times New Roman" w:eastAsia="Calibri" w:hAnsi="Times New Roman" w:cs="Times New Roman"/>
          <w:sz w:val="24"/>
        </w:rPr>
      </w:pPr>
    </w:p>
    <w:p w14:paraId="7129966E" w14:textId="77777777" w:rsidR="201D26C8" w:rsidRPr="00630C37" w:rsidRDefault="201D26C8" w:rsidP="002A754A">
      <w:pPr>
        <w:pStyle w:val="Title2"/>
        <w:rPr>
          <w:rFonts w:ascii="Times New Roman" w:eastAsia="Calibri" w:hAnsi="Times New Roman" w:cs="Times New Roman"/>
          <w:sz w:val="24"/>
        </w:rPr>
      </w:pPr>
    </w:p>
    <w:p w14:paraId="637CE2DC" w14:textId="77777777" w:rsidR="000D4642" w:rsidRPr="00630C37" w:rsidRDefault="000D4642" w:rsidP="002A754A">
      <w:pPr>
        <w:rPr>
          <w:rFonts w:ascii="Times New Roman" w:eastAsia="Calibri" w:hAnsi="Times New Roman" w:cs="Times New Roman"/>
          <w:sz w:val="24"/>
        </w:rPr>
      </w:pPr>
      <w:r w:rsidRPr="00630C37">
        <w:rPr>
          <w:rFonts w:ascii="Times New Roman" w:eastAsia="Calibri" w:hAnsi="Times New Roman" w:cs="Times New Roman"/>
          <w:sz w:val="24"/>
        </w:rPr>
        <w:br w:type="page"/>
      </w:r>
    </w:p>
    <w:p w14:paraId="1D9731FD" w14:textId="77777777" w:rsidR="0066443E" w:rsidRPr="0066443E" w:rsidRDefault="0066443E" w:rsidP="0066443E">
      <w:pPr>
        <w:rPr>
          <w:rFonts w:ascii="Times New Roman" w:hAnsi="Times New Roman" w:cs="Times New Roman"/>
          <w:sz w:val="24"/>
        </w:rPr>
      </w:pPr>
      <w:r w:rsidRPr="0066443E">
        <w:rPr>
          <w:rFonts w:ascii="Times New Roman" w:hAnsi="Times New Roman" w:cs="Times New Roman"/>
          <w:sz w:val="24"/>
        </w:rPr>
        <w:lastRenderedPageBreak/>
        <w:t>This paper will evaluate compliance with the Gramm-Leach-Bliley Act and IT security best practices in the banking industry. The Gramm-Leach-Bliley Act is a 1999 federal law that regulates the privacy and security of consumer financial information, including that of banks and credit unions. The law mandates that banks and credit unions protect customer data and prevent unauthorized access. Additionally, the regulation says that the bank must reveal any information or data-sharing methods to customers. Appropriately handling sensitive information and data is critical for banks to achieve compliance. Banks collect, transmit, and store a large amount of personally identifiable information. Bank data may include customer account details, social security numbers, loan details, and transaction records. Any breach of this data could lead to fraud, identity theft, financial loss, and reputation damage.</w:t>
      </w:r>
    </w:p>
    <w:p w14:paraId="4C6589A1" w14:textId="77777777" w:rsidR="0066443E" w:rsidRPr="0066443E" w:rsidRDefault="0066443E" w:rsidP="0066443E">
      <w:pPr>
        <w:rPr>
          <w:rFonts w:ascii="Times New Roman" w:hAnsi="Times New Roman" w:cs="Times New Roman"/>
          <w:sz w:val="24"/>
        </w:rPr>
      </w:pPr>
      <w:r w:rsidRPr="0066443E">
        <w:rPr>
          <w:rFonts w:ascii="Times New Roman" w:hAnsi="Times New Roman" w:cs="Times New Roman"/>
          <w:sz w:val="24"/>
        </w:rPr>
        <w:t>The Gramm-Leach-Bliley Act consists of three primary rules for banks and credit unions. The rules are the financial privacy rule, safeguards rule, and pretexting or social engineering protection. The financial privacy rule requires banks and credit unions to provide privacy notices to customers. Customers must have the option to opt out of data-sharing practices. The safeguards rule states that banks must provide a thorough information security program to protect customer data. The safeguards rule requires risk assessments, employee training, access controls, encryption, and regular security monitoring. Lastly, pretexting or social engineering protection requires banks and credit unions to implement safeguards to prevent social engineering attacks.</w:t>
      </w:r>
    </w:p>
    <w:p w14:paraId="6E5DD3B5" w14:textId="77777777" w:rsidR="0066443E" w:rsidRPr="0066443E" w:rsidRDefault="0066443E" w:rsidP="0066443E">
      <w:pPr>
        <w:rPr>
          <w:rFonts w:ascii="Times New Roman" w:hAnsi="Times New Roman" w:cs="Times New Roman"/>
          <w:sz w:val="24"/>
        </w:rPr>
      </w:pPr>
      <w:r w:rsidRPr="0066443E">
        <w:rPr>
          <w:rFonts w:ascii="Times New Roman" w:hAnsi="Times New Roman" w:cs="Times New Roman"/>
          <w:sz w:val="24"/>
        </w:rPr>
        <w:t xml:space="preserve">This paper will precisely determine and evaluate four IT controls for a regional bank with multiple branches and locations throughout its servicing region. The IT controls will focus on the bank's requirement for compliance and best practices regarding its employees. These IT controls will comply with the Gramm-Leach-Bliley Act and IT security best practices, and I will provide </w:t>
      </w:r>
      <w:r w:rsidRPr="0066443E">
        <w:rPr>
          <w:rFonts w:ascii="Times New Roman" w:hAnsi="Times New Roman" w:cs="Times New Roman"/>
          <w:sz w:val="24"/>
        </w:rPr>
        <w:lastRenderedPageBreak/>
        <w:t xml:space="preserve">a rationale for each of the four controls. The four IT controls used in this paper are content filtering for internet usage, email security controls, information technology asset management and endpoint security, and annual security awareness training. </w:t>
      </w:r>
    </w:p>
    <w:p w14:paraId="208FA803" w14:textId="77777777" w:rsidR="0066443E" w:rsidRPr="0066443E" w:rsidRDefault="0066443E" w:rsidP="0066443E">
      <w:pPr>
        <w:rPr>
          <w:rFonts w:ascii="Times New Roman" w:hAnsi="Times New Roman" w:cs="Times New Roman"/>
          <w:sz w:val="24"/>
        </w:rPr>
      </w:pPr>
      <w:r w:rsidRPr="0066443E">
        <w:rPr>
          <w:rFonts w:ascii="Times New Roman" w:hAnsi="Times New Roman" w:cs="Times New Roman"/>
          <w:sz w:val="24"/>
        </w:rPr>
        <w:t xml:space="preserve">Content filtering for internet use will monitor and restrict access to non-business-related websites. These content filtering solutions shall include Cisco Umbrella, Barracuda Web Security, or Websense. A category-based filtering control will block access to social media, streaming services, and other non-essential websites. The IT personnel will deploy SSL/TLS decryption to prevent employees from bypassing filter controls by inspecting encrypted web traffic. This type of control will limit employee vulnerability to common online attacks such as phishing sites and malware. This type of control will assure that employees use IT resources for business purposes only, which will enhance productivity and help in decreasing legal liability. This control will help the bank maintain Gramm-Leach-Bliley Act compliance by reducing risks associated with unauthorized access to financial data. </w:t>
      </w:r>
    </w:p>
    <w:p w14:paraId="422D4C3D" w14:textId="77777777" w:rsidR="0066443E" w:rsidRPr="0066443E" w:rsidRDefault="0066443E" w:rsidP="0066443E">
      <w:pPr>
        <w:rPr>
          <w:rFonts w:ascii="Times New Roman" w:hAnsi="Times New Roman" w:cs="Times New Roman"/>
          <w:sz w:val="24"/>
        </w:rPr>
      </w:pPr>
      <w:r w:rsidRPr="0066443E">
        <w:rPr>
          <w:rFonts w:ascii="Times New Roman" w:hAnsi="Times New Roman" w:cs="Times New Roman"/>
          <w:sz w:val="24"/>
        </w:rPr>
        <w:t xml:space="preserve">The bank will implement email security controls to detect spam, phishing, and malware, including email filtering solutions such as Microsoft Defender for Office 365 or Proofpoint. Policies that enforce Data Loss Prevention will prevent employees from sending sensitive information and bank account numbers outside the bank network. A multi-factor authentication control for email access will reduce the risk of employee account takeover. The bank will implement a domain-based message authentication, reporting, and conformance (DMARC) email control. DMARC will prevent email spoofing attacks. These email security controls will reduce the likelihood of phishing and malware while ensuring customer data confidentiality by protecting the bank from email leaks by employees that could violate the Gramm-Leach-Bliley </w:t>
      </w:r>
      <w:r w:rsidRPr="0066443E">
        <w:rPr>
          <w:rFonts w:ascii="Times New Roman" w:hAnsi="Times New Roman" w:cs="Times New Roman"/>
          <w:sz w:val="24"/>
        </w:rPr>
        <w:lastRenderedPageBreak/>
        <w:t>Act. These controls will prevent unauthorized disclosure of sensitive information, fulfilling GLBA compliance.</w:t>
      </w:r>
    </w:p>
    <w:p w14:paraId="5ED28F22" w14:textId="77777777" w:rsidR="0066443E" w:rsidRPr="0066443E" w:rsidRDefault="0066443E" w:rsidP="0066443E">
      <w:pPr>
        <w:rPr>
          <w:rFonts w:ascii="Times New Roman" w:hAnsi="Times New Roman" w:cs="Times New Roman"/>
          <w:sz w:val="24"/>
        </w:rPr>
      </w:pPr>
      <w:r w:rsidRPr="0066443E">
        <w:rPr>
          <w:rFonts w:ascii="Times New Roman" w:hAnsi="Times New Roman" w:cs="Times New Roman"/>
          <w:sz w:val="24"/>
        </w:rPr>
        <w:t xml:space="preserve">The bank will deploy an IT asset management system and implement endpoint security control to maintain a comprehensive IT asset inventory and provide detection and response solutions. Tracking of all assets, such as workstations, servers, network devices, and software, will be maintained and updated as changes occur and with compliance with change management policies. The bank shall implement Endpoint Detection and Response solutions such as CrowdStrike and SentinelOne for real-time threat monitoring. IT personnel will enforce strict device access policies to ensure that only bank-owned and managed devices connect to the bank network. IT personnel will enable automatic security patch updates for operating systems and applications to mitigate vulnerabilities. These controls will protect the bank's critical IT infrastructure from unauthorized or unmanaged devices and reduce the risk associated with unpatched software. These controls will fulfill Gramm-Leach-Bliley Act requirements for IT risk management. </w:t>
      </w:r>
    </w:p>
    <w:p w14:paraId="4EC9F66C" w14:textId="77777777" w:rsidR="0066443E" w:rsidRPr="0066443E" w:rsidRDefault="0066443E" w:rsidP="0066443E">
      <w:pPr>
        <w:rPr>
          <w:rFonts w:ascii="Times New Roman" w:hAnsi="Times New Roman" w:cs="Times New Roman"/>
          <w:sz w:val="24"/>
        </w:rPr>
      </w:pPr>
      <w:r w:rsidRPr="0066443E">
        <w:rPr>
          <w:rFonts w:ascii="Times New Roman" w:hAnsi="Times New Roman" w:cs="Times New Roman"/>
          <w:sz w:val="24"/>
        </w:rPr>
        <w:t xml:space="preserve">The bank will conduct mandatory security awareness training for all employees. This training will cover phishing threats, password management, social engineering, and secure data handling. The testing will include simulated phishing threats to assess employee vigilance and identify weaknesses. Real-world social engineering exercises will reinforce the skills learned during training. Employees must acknowledge IT security policies annually for compliance review. Integrate awareness training into regular training programs, drills, and policy compliance tracking and measure effectiveness over time. The rationale for this training is that human error is a significant security concern and a leading cause of security incidents. Risk management incorporates the critical component of employee education to reduce security risks throughout </w:t>
      </w:r>
      <w:r w:rsidRPr="0066443E">
        <w:rPr>
          <w:rFonts w:ascii="Times New Roman" w:hAnsi="Times New Roman" w:cs="Times New Roman"/>
          <w:sz w:val="24"/>
        </w:rPr>
        <w:lastRenderedPageBreak/>
        <w:t>the bank. This training will enhance the employee's awareness of regulatory requirements and obligations under the Gramm-Leach-Bliley Act. This type of training helps create a security culture among the bank's employees. This training will reinforce the proper handling of customer financial data.</w:t>
      </w:r>
    </w:p>
    <w:p w14:paraId="5D1F3A48" w14:textId="34FF7CBB" w:rsidR="00CA04BB" w:rsidRPr="00CA04BB" w:rsidRDefault="0066443E" w:rsidP="0066443E">
      <w:pPr>
        <w:rPr>
          <w:rFonts w:ascii="Times New Roman" w:hAnsi="Times New Roman" w:cs="Times New Roman"/>
          <w:sz w:val="24"/>
        </w:rPr>
      </w:pPr>
      <w:r w:rsidRPr="0066443E">
        <w:rPr>
          <w:rFonts w:ascii="Times New Roman" w:hAnsi="Times New Roman" w:cs="Times New Roman"/>
          <w:sz w:val="24"/>
        </w:rPr>
        <w:t xml:space="preserve">Gramm-Leach-Bliley Act compliance is required to maintain customer trust and protect sensitive customer data. Banks need to implement comprehensive security controls and enforce employee best practices. Banks also need to conduct regular training. These controls will protect the bank from cyber threats. These four security controls identified in this paper provide a multi-layer defense approach to protecting the banks' customer data and IT assets. The four security controls listed in this paper will provide compliance with the Gramm-Leach-Bliley Act and the IT security industry's best practices. These controls strengthen the bank's cyber soundness and regulatory compliance stance. </w:t>
      </w:r>
    </w:p>
    <w:p w14:paraId="25A9ABDB" w14:textId="77777777" w:rsidR="00A417C1" w:rsidRPr="00630C37" w:rsidRDefault="00000000" w:rsidP="002A754A">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4900ED4CEDF14F2792B95D4B5C1B650C"/>
          </w:placeholder>
          <w:temporary/>
          <w:showingPlcHdr/>
          <w15:appearance w15:val="hidden"/>
        </w:sdtPr>
        <w:sdtContent>
          <w:r w:rsidR="00664C1A" w:rsidRPr="00630C37">
            <w:rPr>
              <w:rFonts w:ascii="Times New Roman" w:hAnsi="Times New Roman" w:cs="Times New Roman"/>
              <w:sz w:val="24"/>
            </w:rPr>
            <w:t>References</w:t>
          </w:r>
        </w:sdtContent>
      </w:sdt>
    </w:p>
    <w:p w14:paraId="75323F2B" w14:textId="351CDF1C" w:rsidR="00FC79CC" w:rsidRDefault="00FC79CC" w:rsidP="00633C06">
      <w:pPr>
        <w:ind w:left="720" w:hanging="720"/>
        <w:rPr>
          <w:rFonts w:ascii="Times New Roman" w:hAnsi="Times New Roman" w:cs="Times New Roman"/>
          <w:sz w:val="24"/>
        </w:rPr>
      </w:pPr>
      <w:r w:rsidRPr="00CE5041">
        <w:rPr>
          <w:rFonts w:ascii="Times New Roman" w:hAnsi="Times New Roman" w:cs="Times New Roman"/>
          <w:sz w:val="24"/>
        </w:rPr>
        <w:t xml:space="preserve">Johnson, R., &amp; </w:t>
      </w:r>
      <w:proofErr w:type="spellStart"/>
      <w:r w:rsidRPr="00CE5041">
        <w:rPr>
          <w:rFonts w:ascii="Times New Roman" w:hAnsi="Times New Roman" w:cs="Times New Roman"/>
          <w:sz w:val="24"/>
        </w:rPr>
        <w:t>Easttom</w:t>
      </w:r>
      <w:proofErr w:type="spellEnd"/>
      <w:r w:rsidRPr="00CE5041">
        <w:rPr>
          <w:rFonts w:ascii="Times New Roman" w:hAnsi="Times New Roman" w:cs="Times New Roman"/>
          <w:sz w:val="24"/>
        </w:rPr>
        <w:t xml:space="preserve">, C. (2020). </w:t>
      </w:r>
      <w:r w:rsidRPr="00CE5041">
        <w:rPr>
          <w:rStyle w:val="Emphasis"/>
          <w:rFonts w:ascii="Times New Roman" w:hAnsi="Times New Roman" w:cs="Times New Roman"/>
          <w:sz w:val="24"/>
        </w:rPr>
        <w:t>Security policies and implementation issues (information systems security &amp; assurance)</w:t>
      </w:r>
      <w:r w:rsidRPr="00CE5041">
        <w:rPr>
          <w:rFonts w:ascii="Times New Roman" w:hAnsi="Times New Roman" w:cs="Times New Roman"/>
          <w:sz w:val="24"/>
        </w:rPr>
        <w:t xml:space="preserve"> (3rd ed.). Jones &amp; Bartlett Learning.</w:t>
      </w:r>
    </w:p>
    <w:p w14:paraId="12F92045" w14:textId="2AD18839" w:rsidR="005D70B5" w:rsidRDefault="002379A8" w:rsidP="00633C06">
      <w:pPr>
        <w:ind w:left="720" w:hanging="720"/>
        <w:rPr>
          <w:rFonts w:ascii="Times New Roman" w:hAnsi="Times New Roman" w:cs="Times New Roman"/>
          <w:sz w:val="24"/>
        </w:rPr>
      </w:pPr>
      <w:r w:rsidRPr="002379A8">
        <w:rPr>
          <w:rFonts w:ascii="Times New Roman" w:hAnsi="Times New Roman" w:cs="Times New Roman"/>
          <w:sz w:val="24"/>
        </w:rPr>
        <w:t xml:space="preserve">East Carolina University. (n.d.). </w:t>
      </w:r>
      <w:r w:rsidRPr="002379A8">
        <w:rPr>
          <w:rFonts w:ascii="Times New Roman" w:hAnsi="Times New Roman" w:cs="Times New Roman"/>
          <w:i/>
          <w:iCs/>
          <w:sz w:val="24"/>
        </w:rPr>
        <w:t>Gramm-Leach-Bliley Act (GLBA) Compliance at ECU</w:t>
      </w:r>
      <w:r w:rsidRPr="002379A8">
        <w:rPr>
          <w:rFonts w:ascii="Times New Roman" w:hAnsi="Times New Roman" w:cs="Times New Roman"/>
          <w:sz w:val="24"/>
        </w:rPr>
        <w:t xml:space="preserve">. </w:t>
      </w:r>
      <w:hyperlink r:id="rId10" w:history="1">
        <w:r w:rsidRPr="002379A8">
          <w:rPr>
            <w:rStyle w:val="Hyperlink"/>
            <w:rFonts w:ascii="Times New Roman" w:hAnsi="Times New Roman" w:cs="Times New Roman"/>
            <w:sz w:val="24"/>
          </w:rPr>
          <w:t>https://datagovernance.ecu.edu/gramm-leach-bliley-act-glba-compliance-at-ecu/</w:t>
        </w:r>
      </w:hyperlink>
    </w:p>
    <w:p w14:paraId="7B0BA291" w14:textId="2593AD7E" w:rsidR="00331CBA" w:rsidRDefault="00331CBA" w:rsidP="00633C06">
      <w:pPr>
        <w:ind w:left="720" w:hanging="720"/>
        <w:rPr>
          <w:rFonts w:ascii="Times New Roman" w:hAnsi="Times New Roman" w:cs="Times New Roman"/>
          <w:sz w:val="24"/>
        </w:rPr>
      </w:pPr>
      <w:r w:rsidRPr="00331CBA">
        <w:rPr>
          <w:rFonts w:ascii="Times New Roman" w:hAnsi="Times New Roman" w:cs="Times New Roman"/>
          <w:sz w:val="24"/>
        </w:rPr>
        <w:t xml:space="preserve">Owens Community College. (2020). </w:t>
      </w:r>
      <w:r w:rsidRPr="00331CBA">
        <w:rPr>
          <w:rFonts w:ascii="Times New Roman" w:hAnsi="Times New Roman" w:cs="Times New Roman"/>
          <w:i/>
          <w:iCs/>
          <w:sz w:val="24"/>
        </w:rPr>
        <w:t>Gramm-Leach-Bliley Act (GLBA) data security program</w:t>
      </w:r>
      <w:r w:rsidRPr="00331CBA">
        <w:rPr>
          <w:rFonts w:ascii="Times New Roman" w:hAnsi="Times New Roman" w:cs="Times New Roman"/>
          <w:sz w:val="24"/>
        </w:rPr>
        <w:t xml:space="preserve"> [PDF]. </w:t>
      </w:r>
      <w:hyperlink r:id="rId11" w:history="1">
        <w:r w:rsidRPr="00331CBA">
          <w:rPr>
            <w:rStyle w:val="Hyperlink"/>
            <w:rFonts w:ascii="Times New Roman" w:hAnsi="Times New Roman" w:cs="Times New Roman"/>
            <w:sz w:val="24"/>
          </w:rPr>
          <w:t>https://www.owens.edu/financial_aid/wp-content/uploads/sites/11/2020/12/occ-glba.pdf</w:t>
        </w:r>
      </w:hyperlink>
    </w:p>
    <w:p w14:paraId="51A0653B" w14:textId="45A6A68D" w:rsidR="00364ED4" w:rsidRDefault="00364ED4" w:rsidP="00633C06">
      <w:pPr>
        <w:ind w:left="720" w:hanging="720"/>
        <w:rPr>
          <w:rFonts w:ascii="Times New Roman" w:hAnsi="Times New Roman" w:cs="Times New Roman"/>
          <w:sz w:val="24"/>
        </w:rPr>
      </w:pPr>
      <w:r w:rsidRPr="00364ED4">
        <w:rPr>
          <w:rFonts w:ascii="Times New Roman" w:hAnsi="Times New Roman" w:cs="Times New Roman"/>
          <w:sz w:val="24"/>
        </w:rPr>
        <w:t xml:space="preserve">Federal Financial Institutions Examination Council. (2021, June). </w:t>
      </w:r>
      <w:r w:rsidRPr="00364ED4">
        <w:rPr>
          <w:rFonts w:ascii="Times New Roman" w:hAnsi="Times New Roman" w:cs="Times New Roman"/>
          <w:i/>
          <w:iCs/>
          <w:sz w:val="24"/>
        </w:rPr>
        <w:t>Information technology examination handbook - architecture, infrastructure, and operations</w:t>
      </w:r>
      <w:r w:rsidRPr="00364ED4">
        <w:rPr>
          <w:rFonts w:ascii="Times New Roman" w:hAnsi="Times New Roman" w:cs="Times New Roman"/>
          <w:sz w:val="24"/>
        </w:rPr>
        <w:t xml:space="preserve"> [PDF]. </w:t>
      </w:r>
      <w:hyperlink r:id="rId12" w:history="1">
        <w:r w:rsidRPr="00364ED4">
          <w:rPr>
            <w:rStyle w:val="Hyperlink"/>
            <w:rFonts w:ascii="Times New Roman" w:hAnsi="Times New Roman" w:cs="Times New Roman"/>
            <w:sz w:val="24"/>
          </w:rPr>
          <w:t>https://ithandbook.ffiec.gov/media/ywfm2ftz/ffiec_itbooklet_aio.pdf</w:t>
        </w:r>
      </w:hyperlink>
    </w:p>
    <w:p w14:paraId="6B88A015" w14:textId="75C8AC47" w:rsidR="009D2E3B" w:rsidRPr="00633C06" w:rsidRDefault="009D2E3B" w:rsidP="00633C06">
      <w:pPr>
        <w:ind w:left="720" w:hanging="720"/>
        <w:rPr>
          <w:rFonts w:ascii="Times New Roman" w:hAnsi="Times New Roman" w:cs="Times New Roman"/>
          <w:sz w:val="24"/>
        </w:rPr>
      </w:pPr>
      <w:r w:rsidRPr="009D2E3B">
        <w:rPr>
          <w:rFonts w:ascii="Times New Roman" w:hAnsi="Times New Roman" w:cs="Times New Roman"/>
          <w:sz w:val="24"/>
        </w:rPr>
        <w:t xml:space="preserve">Federal Financial Institutions Examination Council. (2016, September). </w:t>
      </w:r>
      <w:r w:rsidRPr="009D2E3B">
        <w:rPr>
          <w:rFonts w:ascii="Times New Roman" w:hAnsi="Times New Roman" w:cs="Times New Roman"/>
          <w:i/>
          <w:iCs/>
          <w:sz w:val="24"/>
        </w:rPr>
        <w:t>Information technology examination handbook - information security</w:t>
      </w:r>
      <w:r w:rsidRPr="009D2E3B">
        <w:rPr>
          <w:rFonts w:ascii="Times New Roman" w:hAnsi="Times New Roman" w:cs="Times New Roman"/>
          <w:sz w:val="24"/>
        </w:rPr>
        <w:t xml:space="preserve"> [PDF]. </w:t>
      </w:r>
      <w:hyperlink r:id="rId13" w:history="1">
        <w:r w:rsidRPr="009D2E3B">
          <w:rPr>
            <w:rStyle w:val="Hyperlink"/>
            <w:rFonts w:ascii="Times New Roman" w:hAnsi="Times New Roman" w:cs="Times New Roman"/>
            <w:sz w:val="24"/>
          </w:rPr>
          <w:t>https://ithandbook.ffiec.gov/media/swzjlcxk/ffiec_itbooklet_informationsecurity.pdf</w:t>
        </w:r>
      </w:hyperlink>
    </w:p>
    <w:sectPr w:rsidR="009D2E3B" w:rsidRPr="00633C06" w:rsidSect="00F4790E">
      <w:headerReference w:type="default" r:id="rId14"/>
      <w:headerReference w:type="first" r:id="rId15"/>
      <w:footnotePr>
        <w:pos w:val="beneathText"/>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33987E" w14:textId="77777777" w:rsidR="00DC3B05" w:rsidRDefault="00DC3B05">
      <w:pPr>
        <w:spacing w:line="240" w:lineRule="auto"/>
      </w:pPr>
      <w:r>
        <w:separator/>
      </w:r>
    </w:p>
    <w:p w14:paraId="526DD950" w14:textId="77777777" w:rsidR="00DC3B05" w:rsidRDefault="00DC3B05"/>
  </w:endnote>
  <w:endnote w:type="continuationSeparator" w:id="0">
    <w:p w14:paraId="5B9B8C85" w14:textId="77777777" w:rsidR="00DC3B05" w:rsidRDefault="00DC3B05">
      <w:pPr>
        <w:spacing w:line="240" w:lineRule="auto"/>
      </w:pPr>
      <w:r>
        <w:continuationSeparator/>
      </w:r>
    </w:p>
    <w:p w14:paraId="796AAE7E" w14:textId="77777777" w:rsidR="00DC3B05" w:rsidRDefault="00DC3B0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E4FAB" w14:textId="77777777" w:rsidR="00DC3B05" w:rsidRDefault="00DC3B05">
      <w:pPr>
        <w:spacing w:line="240" w:lineRule="auto"/>
      </w:pPr>
      <w:r>
        <w:separator/>
      </w:r>
    </w:p>
    <w:p w14:paraId="3A73429D" w14:textId="77777777" w:rsidR="00DC3B05" w:rsidRDefault="00DC3B05"/>
  </w:footnote>
  <w:footnote w:type="continuationSeparator" w:id="0">
    <w:p w14:paraId="197C026D" w14:textId="77777777" w:rsidR="00DC3B05" w:rsidRDefault="00DC3B05">
      <w:pPr>
        <w:spacing w:line="240" w:lineRule="auto"/>
      </w:pPr>
      <w:r>
        <w:continuationSeparator/>
      </w:r>
    </w:p>
    <w:p w14:paraId="4575D727" w14:textId="77777777" w:rsidR="00DC3B05" w:rsidRDefault="00DC3B0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62928"/>
      <w:docPartObj>
        <w:docPartGallery w:val="Page Numbers (Top of Page)"/>
        <w:docPartUnique/>
      </w:docPartObj>
    </w:sdtPr>
    <w:sdtEndPr>
      <w:rPr>
        <w:noProof/>
      </w:rPr>
    </w:sdtEndPr>
    <w:sdtContent>
      <w:p w14:paraId="7A553EC7" w14:textId="33F4641A" w:rsidR="00286F05" w:rsidRDefault="00286F05">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82B71E" w14:textId="77777777" w:rsidR="007476CF" w:rsidRDefault="007476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9708201"/>
      <w:docPartObj>
        <w:docPartGallery w:val="Page Numbers (Top of Page)"/>
        <w:docPartUnique/>
      </w:docPartObj>
    </w:sdtPr>
    <w:sdtEndPr>
      <w:rPr>
        <w:noProof/>
      </w:rPr>
    </w:sdtEndPr>
    <w:sdtContent>
      <w:p w14:paraId="25A3A590" w14:textId="46D2FF81" w:rsidR="00B82B54" w:rsidRDefault="00B82B5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C511FAA"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0FB1514"/>
    <w:multiLevelType w:val="hybridMultilevel"/>
    <w:tmpl w:val="2B66392E"/>
    <w:lvl w:ilvl="0" w:tplc="092E6698">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9129323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002"/>
    <w:rsid w:val="00010DA5"/>
    <w:rsid w:val="00011C67"/>
    <w:rsid w:val="00011F72"/>
    <w:rsid w:val="00023AFE"/>
    <w:rsid w:val="000279F6"/>
    <w:rsid w:val="00030734"/>
    <w:rsid w:val="00030BFC"/>
    <w:rsid w:val="00031E0F"/>
    <w:rsid w:val="00033072"/>
    <w:rsid w:val="0003536F"/>
    <w:rsid w:val="0003602E"/>
    <w:rsid w:val="00044F5F"/>
    <w:rsid w:val="00046A5B"/>
    <w:rsid w:val="00047926"/>
    <w:rsid w:val="0005250B"/>
    <w:rsid w:val="000647BB"/>
    <w:rsid w:val="000703D7"/>
    <w:rsid w:val="00071F0C"/>
    <w:rsid w:val="000827D2"/>
    <w:rsid w:val="000914C7"/>
    <w:rsid w:val="000A3D9B"/>
    <w:rsid w:val="000A5556"/>
    <w:rsid w:val="000A68C3"/>
    <w:rsid w:val="000C43E6"/>
    <w:rsid w:val="000C71CD"/>
    <w:rsid w:val="000D00B0"/>
    <w:rsid w:val="000D3AB8"/>
    <w:rsid w:val="000D43C9"/>
    <w:rsid w:val="000D4642"/>
    <w:rsid w:val="000D539D"/>
    <w:rsid w:val="000F6EE8"/>
    <w:rsid w:val="001004B7"/>
    <w:rsid w:val="00105A67"/>
    <w:rsid w:val="00111231"/>
    <w:rsid w:val="00116273"/>
    <w:rsid w:val="00121084"/>
    <w:rsid w:val="001243A9"/>
    <w:rsid w:val="00124CB1"/>
    <w:rsid w:val="00125ED7"/>
    <w:rsid w:val="00131593"/>
    <w:rsid w:val="00132572"/>
    <w:rsid w:val="00136DC9"/>
    <w:rsid w:val="00161FB7"/>
    <w:rsid w:val="00165A80"/>
    <w:rsid w:val="00176B9C"/>
    <w:rsid w:val="001776FC"/>
    <w:rsid w:val="001815A0"/>
    <w:rsid w:val="00190C51"/>
    <w:rsid w:val="001A3F09"/>
    <w:rsid w:val="001A71B3"/>
    <w:rsid w:val="001B3A9D"/>
    <w:rsid w:val="001B5B71"/>
    <w:rsid w:val="001B5E40"/>
    <w:rsid w:val="001B67D4"/>
    <w:rsid w:val="001C3741"/>
    <w:rsid w:val="001D4489"/>
    <w:rsid w:val="001D5A40"/>
    <w:rsid w:val="001E2FF9"/>
    <w:rsid w:val="001F01AB"/>
    <w:rsid w:val="001F6E8F"/>
    <w:rsid w:val="00201024"/>
    <w:rsid w:val="00201E6D"/>
    <w:rsid w:val="00205675"/>
    <w:rsid w:val="00205EC1"/>
    <w:rsid w:val="00210D58"/>
    <w:rsid w:val="00213F09"/>
    <w:rsid w:val="00233450"/>
    <w:rsid w:val="002379A8"/>
    <w:rsid w:val="00244191"/>
    <w:rsid w:val="0025057B"/>
    <w:rsid w:val="002505DD"/>
    <w:rsid w:val="002514F4"/>
    <w:rsid w:val="00254A3D"/>
    <w:rsid w:val="0027368A"/>
    <w:rsid w:val="00280964"/>
    <w:rsid w:val="002822E7"/>
    <w:rsid w:val="00286F05"/>
    <w:rsid w:val="00294CFF"/>
    <w:rsid w:val="002A41A4"/>
    <w:rsid w:val="002A754A"/>
    <w:rsid w:val="002B0D5B"/>
    <w:rsid w:val="002C0F59"/>
    <w:rsid w:val="002C17B5"/>
    <w:rsid w:val="002C3433"/>
    <w:rsid w:val="002C697B"/>
    <w:rsid w:val="002C6CA6"/>
    <w:rsid w:val="002C79E6"/>
    <w:rsid w:val="002C7DAF"/>
    <w:rsid w:val="002D1D16"/>
    <w:rsid w:val="002E23C2"/>
    <w:rsid w:val="002F065E"/>
    <w:rsid w:val="002F3AE9"/>
    <w:rsid w:val="002F5A35"/>
    <w:rsid w:val="0030062E"/>
    <w:rsid w:val="003046E5"/>
    <w:rsid w:val="003126BC"/>
    <w:rsid w:val="003242D4"/>
    <w:rsid w:val="00325EBB"/>
    <w:rsid w:val="00331CBA"/>
    <w:rsid w:val="0034212F"/>
    <w:rsid w:val="003462E2"/>
    <w:rsid w:val="003537E7"/>
    <w:rsid w:val="00363640"/>
    <w:rsid w:val="00364DF3"/>
    <w:rsid w:val="00364ED4"/>
    <w:rsid w:val="003725D8"/>
    <w:rsid w:val="003804CC"/>
    <w:rsid w:val="00384ED0"/>
    <w:rsid w:val="0039688B"/>
    <w:rsid w:val="003A40F9"/>
    <w:rsid w:val="003A7792"/>
    <w:rsid w:val="003B15C3"/>
    <w:rsid w:val="003B489C"/>
    <w:rsid w:val="003C51D8"/>
    <w:rsid w:val="003D043B"/>
    <w:rsid w:val="003D4271"/>
    <w:rsid w:val="003E5E06"/>
    <w:rsid w:val="003F14D5"/>
    <w:rsid w:val="003F35C8"/>
    <w:rsid w:val="003F4BB9"/>
    <w:rsid w:val="003F72E6"/>
    <w:rsid w:val="004021E2"/>
    <w:rsid w:val="0040377D"/>
    <w:rsid w:val="004174EF"/>
    <w:rsid w:val="00420F0D"/>
    <w:rsid w:val="00420F38"/>
    <w:rsid w:val="004356EA"/>
    <w:rsid w:val="00462652"/>
    <w:rsid w:val="00462D4D"/>
    <w:rsid w:val="004635F6"/>
    <w:rsid w:val="00467414"/>
    <w:rsid w:val="00474E91"/>
    <w:rsid w:val="00487A3C"/>
    <w:rsid w:val="0049185A"/>
    <w:rsid w:val="00496657"/>
    <w:rsid w:val="00497987"/>
    <w:rsid w:val="004B52D4"/>
    <w:rsid w:val="004C6053"/>
    <w:rsid w:val="004C68F7"/>
    <w:rsid w:val="004D1056"/>
    <w:rsid w:val="004D14BA"/>
    <w:rsid w:val="004E3E88"/>
    <w:rsid w:val="004E4E02"/>
    <w:rsid w:val="004F541E"/>
    <w:rsid w:val="004F7268"/>
    <w:rsid w:val="00500425"/>
    <w:rsid w:val="005058C2"/>
    <w:rsid w:val="005215D7"/>
    <w:rsid w:val="005251AB"/>
    <w:rsid w:val="00531B13"/>
    <w:rsid w:val="0054494A"/>
    <w:rsid w:val="00551E2B"/>
    <w:rsid w:val="0055494D"/>
    <w:rsid w:val="00562505"/>
    <w:rsid w:val="00562A90"/>
    <w:rsid w:val="00564A24"/>
    <w:rsid w:val="00564B6D"/>
    <w:rsid w:val="005651AE"/>
    <w:rsid w:val="005666D3"/>
    <w:rsid w:val="00576712"/>
    <w:rsid w:val="00580E81"/>
    <w:rsid w:val="005A0493"/>
    <w:rsid w:val="005A4514"/>
    <w:rsid w:val="005C199E"/>
    <w:rsid w:val="005C3A39"/>
    <w:rsid w:val="005D3991"/>
    <w:rsid w:val="005D4A95"/>
    <w:rsid w:val="005D70B5"/>
    <w:rsid w:val="005E1AF8"/>
    <w:rsid w:val="005E38F9"/>
    <w:rsid w:val="005E51FB"/>
    <w:rsid w:val="005E7ADB"/>
    <w:rsid w:val="00603FE4"/>
    <w:rsid w:val="00605032"/>
    <w:rsid w:val="0060713C"/>
    <w:rsid w:val="00627821"/>
    <w:rsid w:val="00630C37"/>
    <w:rsid w:val="00633C06"/>
    <w:rsid w:val="00633CBA"/>
    <w:rsid w:val="006378BF"/>
    <w:rsid w:val="006416CF"/>
    <w:rsid w:val="00641B69"/>
    <w:rsid w:val="0064591B"/>
    <w:rsid w:val="00645FD6"/>
    <w:rsid w:val="00646DBF"/>
    <w:rsid w:val="00650299"/>
    <w:rsid w:val="00652F5C"/>
    <w:rsid w:val="00660F48"/>
    <w:rsid w:val="00661816"/>
    <w:rsid w:val="0066443E"/>
    <w:rsid w:val="00664C1A"/>
    <w:rsid w:val="0068047E"/>
    <w:rsid w:val="00687F12"/>
    <w:rsid w:val="00694E98"/>
    <w:rsid w:val="006A55A2"/>
    <w:rsid w:val="006B108A"/>
    <w:rsid w:val="006E039C"/>
    <w:rsid w:val="006E20FF"/>
    <w:rsid w:val="006E351C"/>
    <w:rsid w:val="006E42D3"/>
    <w:rsid w:val="006E67BC"/>
    <w:rsid w:val="006F4F08"/>
    <w:rsid w:val="007022BE"/>
    <w:rsid w:val="0071587F"/>
    <w:rsid w:val="00727936"/>
    <w:rsid w:val="0073675F"/>
    <w:rsid w:val="00747163"/>
    <w:rsid w:val="007476CF"/>
    <w:rsid w:val="00747C29"/>
    <w:rsid w:val="007519FE"/>
    <w:rsid w:val="00755002"/>
    <w:rsid w:val="007550FC"/>
    <w:rsid w:val="007577D5"/>
    <w:rsid w:val="00760964"/>
    <w:rsid w:val="00775937"/>
    <w:rsid w:val="0077742D"/>
    <w:rsid w:val="00777EA1"/>
    <w:rsid w:val="00793A86"/>
    <w:rsid w:val="00797255"/>
    <w:rsid w:val="007A125D"/>
    <w:rsid w:val="007A359B"/>
    <w:rsid w:val="007B1BE5"/>
    <w:rsid w:val="007B3A02"/>
    <w:rsid w:val="007C4402"/>
    <w:rsid w:val="007D1F80"/>
    <w:rsid w:val="007D35C6"/>
    <w:rsid w:val="007D3966"/>
    <w:rsid w:val="007E23F4"/>
    <w:rsid w:val="007E4FF0"/>
    <w:rsid w:val="007F0CA2"/>
    <w:rsid w:val="007F62FC"/>
    <w:rsid w:val="00800D46"/>
    <w:rsid w:val="008026D4"/>
    <w:rsid w:val="008064CA"/>
    <w:rsid w:val="008064E9"/>
    <w:rsid w:val="008129DB"/>
    <w:rsid w:val="00817675"/>
    <w:rsid w:val="00832B2B"/>
    <w:rsid w:val="00837AF3"/>
    <w:rsid w:val="008419BC"/>
    <w:rsid w:val="008515CF"/>
    <w:rsid w:val="0085197D"/>
    <w:rsid w:val="00852A9D"/>
    <w:rsid w:val="00863F19"/>
    <w:rsid w:val="0086523B"/>
    <w:rsid w:val="008658DD"/>
    <w:rsid w:val="0087407D"/>
    <w:rsid w:val="00885E70"/>
    <w:rsid w:val="00886622"/>
    <w:rsid w:val="00887AE7"/>
    <w:rsid w:val="00896D85"/>
    <w:rsid w:val="0089743D"/>
    <w:rsid w:val="008A12E1"/>
    <w:rsid w:val="008A1A29"/>
    <w:rsid w:val="008A30B7"/>
    <w:rsid w:val="008A3A7A"/>
    <w:rsid w:val="008B0D15"/>
    <w:rsid w:val="008C1F83"/>
    <w:rsid w:val="008C5418"/>
    <w:rsid w:val="008C7300"/>
    <w:rsid w:val="008D456A"/>
    <w:rsid w:val="008D56B1"/>
    <w:rsid w:val="008E5358"/>
    <w:rsid w:val="008F2962"/>
    <w:rsid w:val="008F2FA3"/>
    <w:rsid w:val="008F79E4"/>
    <w:rsid w:val="0090173E"/>
    <w:rsid w:val="00930AD3"/>
    <w:rsid w:val="009319BA"/>
    <w:rsid w:val="00940977"/>
    <w:rsid w:val="00954DCE"/>
    <w:rsid w:val="00961ABD"/>
    <w:rsid w:val="00991B32"/>
    <w:rsid w:val="00991C34"/>
    <w:rsid w:val="00995F5A"/>
    <w:rsid w:val="0099682C"/>
    <w:rsid w:val="0099721E"/>
    <w:rsid w:val="009A257E"/>
    <w:rsid w:val="009B5A36"/>
    <w:rsid w:val="009C3960"/>
    <w:rsid w:val="009C3BE2"/>
    <w:rsid w:val="009C4993"/>
    <w:rsid w:val="009D1351"/>
    <w:rsid w:val="009D2E3B"/>
    <w:rsid w:val="009D38EB"/>
    <w:rsid w:val="009E6063"/>
    <w:rsid w:val="009F11DF"/>
    <w:rsid w:val="009F3B97"/>
    <w:rsid w:val="00A045CE"/>
    <w:rsid w:val="00A25BB3"/>
    <w:rsid w:val="00A31AD8"/>
    <w:rsid w:val="00A417C1"/>
    <w:rsid w:val="00A505B3"/>
    <w:rsid w:val="00A518F9"/>
    <w:rsid w:val="00A536C4"/>
    <w:rsid w:val="00A57AB8"/>
    <w:rsid w:val="00A60762"/>
    <w:rsid w:val="00A6349D"/>
    <w:rsid w:val="00A66DBF"/>
    <w:rsid w:val="00A673F2"/>
    <w:rsid w:val="00A67A6F"/>
    <w:rsid w:val="00A92F5D"/>
    <w:rsid w:val="00A93B41"/>
    <w:rsid w:val="00A96922"/>
    <w:rsid w:val="00AB113A"/>
    <w:rsid w:val="00AB6E8E"/>
    <w:rsid w:val="00AC4D10"/>
    <w:rsid w:val="00AD2C9F"/>
    <w:rsid w:val="00AE215B"/>
    <w:rsid w:val="00AE520A"/>
    <w:rsid w:val="00AE6FF4"/>
    <w:rsid w:val="00AF5DF4"/>
    <w:rsid w:val="00AF7BBF"/>
    <w:rsid w:val="00B03C72"/>
    <w:rsid w:val="00B07053"/>
    <w:rsid w:val="00B138CC"/>
    <w:rsid w:val="00B163E6"/>
    <w:rsid w:val="00B3456E"/>
    <w:rsid w:val="00B36558"/>
    <w:rsid w:val="00B407FA"/>
    <w:rsid w:val="00B50E75"/>
    <w:rsid w:val="00B674FD"/>
    <w:rsid w:val="00B82B54"/>
    <w:rsid w:val="00B863FB"/>
    <w:rsid w:val="00B86440"/>
    <w:rsid w:val="00B92C17"/>
    <w:rsid w:val="00B9395B"/>
    <w:rsid w:val="00B945D1"/>
    <w:rsid w:val="00BB2D6F"/>
    <w:rsid w:val="00BB6E51"/>
    <w:rsid w:val="00BC003A"/>
    <w:rsid w:val="00BC65BA"/>
    <w:rsid w:val="00BD519F"/>
    <w:rsid w:val="00BE12AC"/>
    <w:rsid w:val="00BE1816"/>
    <w:rsid w:val="00BE19F4"/>
    <w:rsid w:val="00BE4D36"/>
    <w:rsid w:val="00BE639C"/>
    <w:rsid w:val="00BF08E0"/>
    <w:rsid w:val="00BF25DA"/>
    <w:rsid w:val="00BF66AD"/>
    <w:rsid w:val="00C00F8F"/>
    <w:rsid w:val="00C03068"/>
    <w:rsid w:val="00C07114"/>
    <w:rsid w:val="00C30531"/>
    <w:rsid w:val="00C4113A"/>
    <w:rsid w:val="00C41EBB"/>
    <w:rsid w:val="00C44E8B"/>
    <w:rsid w:val="00C45B09"/>
    <w:rsid w:val="00C47BAA"/>
    <w:rsid w:val="00C500E6"/>
    <w:rsid w:val="00C5449B"/>
    <w:rsid w:val="00C6500E"/>
    <w:rsid w:val="00C65D80"/>
    <w:rsid w:val="00C76E78"/>
    <w:rsid w:val="00C85B3D"/>
    <w:rsid w:val="00C86DE0"/>
    <w:rsid w:val="00C91476"/>
    <w:rsid w:val="00C95418"/>
    <w:rsid w:val="00CA04BB"/>
    <w:rsid w:val="00CA5104"/>
    <w:rsid w:val="00CA6686"/>
    <w:rsid w:val="00CA7593"/>
    <w:rsid w:val="00CB2CFF"/>
    <w:rsid w:val="00CB6ADB"/>
    <w:rsid w:val="00CC0097"/>
    <w:rsid w:val="00CD2F80"/>
    <w:rsid w:val="00CD4277"/>
    <w:rsid w:val="00CD6931"/>
    <w:rsid w:val="00CD72C3"/>
    <w:rsid w:val="00CE03F0"/>
    <w:rsid w:val="00CE1019"/>
    <w:rsid w:val="00CE5041"/>
    <w:rsid w:val="00CE5CCE"/>
    <w:rsid w:val="00CE7B15"/>
    <w:rsid w:val="00CF2047"/>
    <w:rsid w:val="00CF7CD2"/>
    <w:rsid w:val="00D04B1B"/>
    <w:rsid w:val="00D13ACE"/>
    <w:rsid w:val="00D14032"/>
    <w:rsid w:val="00D14958"/>
    <w:rsid w:val="00D17862"/>
    <w:rsid w:val="00D32BC6"/>
    <w:rsid w:val="00D37A9D"/>
    <w:rsid w:val="00D42585"/>
    <w:rsid w:val="00D470DD"/>
    <w:rsid w:val="00D47E99"/>
    <w:rsid w:val="00D50D2A"/>
    <w:rsid w:val="00D620FD"/>
    <w:rsid w:val="00D70583"/>
    <w:rsid w:val="00D7452E"/>
    <w:rsid w:val="00D85B4C"/>
    <w:rsid w:val="00D91044"/>
    <w:rsid w:val="00D93331"/>
    <w:rsid w:val="00D93391"/>
    <w:rsid w:val="00D93FED"/>
    <w:rsid w:val="00DA41D6"/>
    <w:rsid w:val="00DA4543"/>
    <w:rsid w:val="00DB231C"/>
    <w:rsid w:val="00DC3940"/>
    <w:rsid w:val="00DC3B05"/>
    <w:rsid w:val="00DC6309"/>
    <w:rsid w:val="00DC7A81"/>
    <w:rsid w:val="00DD2227"/>
    <w:rsid w:val="00DD69A9"/>
    <w:rsid w:val="00DF06C9"/>
    <w:rsid w:val="00DF0855"/>
    <w:rsid w:val="00DF60D0"/>
    <w:rsid w:val="00E320E7"/>
    <w:rsid w:val="00E401F2"/>
    <w:rsid w:val="00E5145E"/>
    <w:rsid w:val="00E52222"/>
    <w:rsid w:val="00E60664"/>
    <w:rsid w:val="00E62FA4"/>
    <w:rsid w:val="00E64EAE"/>
    <w:rsid w:val="00E67454"/>
    <w:rsid w:val="00E72245"/>
    <w:rsid w:val="00E84455"/>
    <w:rsid w:val="00E90162"/>
    <w:rsid w:val="00EA510E"/>
    <w:rsid w:val="00EC189A"/>
    <w:rsid w:val="00ED2863"/>
    <w:rsid w:val="00EE2770"/>
    <w:rsid w:val="00EE3717"/>
    <w:rsid w:val="00EF55C5"/>
    <w:rsid w:val="00F0036A"/>
    <w:rsid w:val="00F13A50"/>
    <w:rsid w:val="00F14E34"/>
    <w:rsid w:val="00F2136A"/>
    <w:rsid w:val="00F22A78"/>
    <w:rsid w:val="00F3038B"/>
    <w:rsid w:val="00F36C21"/>
    <w:rsid w:val="00F40CB2"/>
    <w:rsid w:val="00F45BCF"/>
    <w:rsid w:val="00F4790E"/>
    <w:rsid w:val="00F5132B"/>
    <w:rsid w:val="00F6242A"/>
    <w:rsid w:val="00F74D60"/>
    <w:rsid w:val="00F92519"/>
    <w:rsid w:val="00FA087C"/>
    <w:rsid w:val="00FA515D"/>
    <w:rsid w:val="00FB18B4"/>
    <w:rsid w:val="00FB5EE5"/>
    <w:rsid w:val="00FC1164"/>
    <w:rsid w:val="00FC1B8C"/>
    <w:rsid w:val="00FC6A35"/>
    <w:rsid w:val="00FC79CC"/>
    <w:rsid w:val="00FD0666"/>
    <w:rsid w:val="00FD2DA3"/>
    <w:rsid w:val="00FE623A"/>
    <w:rsid w:val="00FF55EC"/>
    <w:rsid w:val="00FF7AC3"/>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5DA45E"/>
  <w15:chartTrackingRefBased/>
  <w15:docId w15:val="{893DA14C-BBAC-4523-88A0-D9DAD7FD9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470DD"/>
    <w:rPr>
      <w:color w:val="605E5C"/>
      <w:shd w:val="clear" w:color="auto" w:fill="E1DFDD"/>
    </w:rPr>
  </w:style>
  <w:style w:type="character" w:styleId="FollowedHyperlink">
    <w:name w:val="FollowedHyperlink"/>
    <w:basedOn w:val="DefaultParagraphFont"/>
    <w:uiPriority w:val="99"/>
    <w:semiHidden/>
    <w:unhideWhenUsed/>
    <w:rsid w:val="002E23C2"/>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thandbook.ffiec.gov/media/swzjlcxk/ffiec_itbooklet_informationsecurity.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ithandbook.ffiec.gov/media/ywfm2ftz/ffiec_itbooklet_aio.pdf"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owens.edu/financial_aid/wp-content/uploads/sites/11/2020/12/occ-glba.pdf"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s://datagovernance.ecu.edu/gramm-leach-bliley-act-glba-compliance-at-ec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900ED4CEDF14F2792B95D4B5C1B650C"/>
        <w:category>
          <w:name w:val="General"/>
          <w:gallery w:val="placeholder"/>
        </w:category>
        <w:types>
          <w:type w:val="bbPlcHdr"/>
        </w:types>
        <w:behaviors>
          <w:behavior w:val="content"/>
        </w:behaviors>
        <w:guid w:val="{C3A1ABC3-223A-4F9E-AF23-27C77709F548}"/>
      </w:docPartPr>
      <w:docPartBody>
        <w:p w:rsidR="00B633EE" w:rsidRDefault="009B1EC2">
          <w:pPr>
            <w:pStyle w:val="4900ED4CEDF14F2792B95D4B5C1B650C"/>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3D9"/>
    <w:rsid w:val="002822E7"/>
    <w:rsid w:val="002C7DAF"/>
    <w:rsid w:val="002F0FC5"/>
    <w:rsid w:val="0034212F"/>
    <w:rsid w:val="003B5A2A"/>
    <w:rsid w:val="003D4271"/>
    <w:rsid w:val="0040377D"/>
    <w:rsid w:val="00524333"/>
    <w:rsid w:val="005E38F9"/>
    <w:rsid w:val="00603FE4"/>
    <w:rsid w:val="006A2777"/>
    <w:rsid w:val="007763D9"/>
    <w:rsid w:val="008A30B7"/>
    <w:rsid w:val="008D799B"/>
    <w:rsid w:val="00954DCE"/>
    <w:rsid w:val="009B1EC2"/>
    <w:rsid w:val="00A51A05"/>
    <w:rsid w:val="00B633EE"/>
    <w:rsid w:val="00B7235E"/>
    <w:rsid w:val="00B80D6C"/>
    <w:rsid w:val="00B9658D"/>
    <w:rsid w:val="00D42585"/>
    <w:rsid w:val="00E21512"/>
    <w:rsid w:val="00E75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4900ED4CEDF14F2792B95D4B5C1B650C">
    <w:name w:val="4900ED4CEDF14F2792B95D4B5C1B650C"/>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366</TotalTime>
  <Pages>6</Pages>
  <Words>1150</Words>
  <Characters>7436</Characters>
  <Application>Microsoft Office Word</Application>
  <DocSecurity>0</DocSecurity>
  <Lines>121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Mohawk Gorilla</dc:creator>
  <cp:keywords/>
  <dc:description/>
  <cp:lastModifiedBy>Bradley Adams</cp:lastModifiedBy>
  <cp:revision>50</cp:revision>
  <dcterms:created xsi:type="dcterms:W3CDTF">2025-02-02T15:25:00Z</dcterms:created>
  <dcterms:modified xsi:type="dcterms:W3CDTF">2025-02-03T13:30:00Z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