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365E99B" w14:textId="06CB9129" w:rsidR="00031E0F" w:rsidRPr="00747163" w:rsidRDefault="002A24F3" w:rsidP="00031E0F">
      <w:pPr>
        <w:pStyle w:val="Subtitle"/>
      </w:pPr>
      <w:r>
        <w:rPr>
          <w:rFonts w:ascii="Times New Roman" w:eastAsiaTheme="majorEastAsia" w:hAnsi="Times New Roman" w:cs="Times New Roman"/>
          <w:b/>
          <w:sz w:val="24"/>
          <w:szCs w:val="24"/>
        </w:rPr>
        <w:t>Corporate Computer Security</w:t>
      </w:r>
      <w:r w:rsidR="00A2626A">
        <w:rPr>
          <w:rFonts w:ascii="Times New Roman" w:eastAsiaTheme="majorEastAsia" w:hAnsi="Times New Roman" w:cs="Times New Roman"/>
          <w:b/>
          <w:sz w:val="24"/>
          <w:szCs w:val="24"/>
        </w:rPr>
        <w:t>: Comprehensive Analysis of</w:t>
      </w:r>
      <w:r w:rsidR="00C154FC">
        <w:rPr>
          <w:rFonts w:ascii="Times New Roman" w:eastAsiaTheme="majorEastAsia" w:hAnsi="Times New Roman" w:cs="Times New Roman"/>
          <w:b/>
          <w:sz w:val="24"/>
          <w:szCs w:val="24"/>
        </w:rPr>
        <w:t xml:space="preserve"> </w:t>
      </w:r>
      <w:r w:rsidR="00BB5CBA">
        <w:rPr>
          <w:rFonts w:ascii="Times New Roman" w:eastAsiaTheme="majorEastAsia" w:hAnsi="Times New Roman" w:cs="Times New Roman"/>
          <w:b/>
          <w:sz w:val="24"/>
          <w:szCs w:val="24"/>
        </w:rPr>
        <w:t xml:space="preserve">the </w:t>
      </w:r>
      <w:r w:rsidR="00C154FC">
        <w:rPr>
          <w:rFonts w:ascii="Times New Roman" w:eastAsiaTheme="majorEastAsia" w:hAnsi="Times New Roman" w:cs="Times New Roman"/>
          <w:b/>
          <w:sz w:val="24"/>
          <w:szCs w:val="24"/>
        </w:rPr>
        <w:t xml:space="preserve">Last </w:t>
      </w:r>
      <w:r w:rsidR="00323F98">
        <w:rPr>
          <w:rFonts w:ascii="Times New Roman" w:eastAsiaTheme="majorEastAsia" w:hAnsi="Times New Roman" w:cs="Times New Roman"/>
          <w:b/>
          <w:sz w:val="24"/>
          <w:szCs w:val="24"/>
        </w:rPr>
        <w:t>Five Core Domains</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6433A44D"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BA2331">
        <w:rPr>
          <w:rFonts w:ascii="Times New Roman" w:hAnsi="Times New Roman" w:cs="Times New Roman"/>
          <w:sz w:val="24"/>
          <w:szCs w:val="24"/>
        </w:rPr>
        <w:t>25</w:t>
      </w:r>
      <w:r w:rsidR="00D85B4C" w:rsidRPr="00630C37">
        <w:rPr>
          <w:rFonts w:ascii="Times New Roman" w:hAnsi="Times New Roman" w:cs="Times New Roman"/>
          <w:sz w:val="24"/>
          <w:szCs w:val="24"/>
        </w:rPr>
        <w:t xml:space="preserve">: </w:t>
      </w:r>
      <w:r w:rsidR="00EF1FCD">
        <w:rPr>
          <w:rFonts w:ascii="Times New Roman" w:hAnsi="Times New Roman" w:cs="Times New Roman"/>
          <w:sz w:val="24"/>
          <w:szCs w:val="24"/>
        </w:rPr>
        <w:t>Cybersecurity Leadership and Strategic Management</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437D6DBC" w:rsidR="201D26C8" w:rsidRPr="00630C37" w:rsidRDefault="00C154FC" w:rsidP="002A754A">
      <w:pPr>
        <w:pStyle w:val="Subtitle"/>
        <w:rPr>
          <w:rFonts w:ascii="Times New Roman" w:hAnsi="Times New Roman" w:cs="Times New Roman"/>
          <w:sz w:val="24"/>
          <w:szCs w:val="24"/>
        </w:rPr>
      </w:pPr>
      <w:r>
        <w:rPr>
          <w:rFonts w:ascii="Times New Roman" w:hAnsi="Times New Roman" w:cs="Times New Roman"/>
          <w:sz w:val="24"/>
          <w:szCs w:val="24"/>
        </w:rPr>
        <w:t>November</w:t>
      </w:r>
      <w:r w:rsidR="00BA2331">
        <w:rPr>
          <w:rFonts w:ascii="Times New Roman" w:hAnsi="Times New Roman" w:cs="Times New Roman"/>
          <w:sz w:val="24"/>
          <w:szCs w:val="24"/>
        </w:rPr>
        <w:t xml:space="preserve"> </w:t>
      </w:r>
      <w:r w:rsidR="00206C98">
        <w:rPr>
          <w:rFonts w:ascii="Times New Roman" w:hAnsi="Times New Roman" w:cs="Times New Roman"/>
          <w:sz w:val="24"/>
          <w:szCs w:val="24"/>
        </w:rPr>
        <w:t>2</w:t>
      </w:r>
      <w:r w:rsidR="000054CF">
        <w:rPr>
          <w:rFonts w:ascii="Times New Roman" w:hAnsi="Times New Roman" w:cs="Times New Roman"/>
          <w:sz w:val="24"/>
          <w:szCs w:val="24"/>
        </w:rPr>
        <w:t>0</w:t>
      </w:r>
      <w:r w:rsidR="00B9395B" w:rsidRPr="00630C37">
        <w:rPr>
          <w:rFonts w:ascii="Times New Roman" w:hAnsi="Times New Roman" w:cs="Times New Roman"/>
          <w:sz w:val="24"/>
          <w:szCs w:val="24"/>
        </w:rPr>
        <w:t>, 202</w:t>
      </w:r>
      <w:r w:rsidR="009F3B97">
        <w:rPr>
          <w:rFonts w:ascii="Times New Roman" w:hAnsi="Times New Roman" w:cs="Times New Roman"/>
          <w:sz w:val="24"/>
          <w:szCs w:val="24"/>
        </w:rPr>
        <w:t>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156F130" w14:textId="77777777" w:rsidR="004A2A47" w:rsidRDefault="004A2A47" w:rsidP="004A2A47">
      <w:pPr>
        <w:ind w:firstLine="0"/>
        <w:rPr>
          <w:rFonts w:ascii="Times New Roman" w:eastAsia="Calibri" w:hAnsi="Times New Roman" w:cs="Times New Roman"/>
          <w:sz w:val="24"/>
        </w:rPr>
      </w:pPr>
    </w:p>
    <w:p w14:paraId="5A1A2BF8" w14:textId="77777777" w:rsidR="004A2A47" w:rsidRDefault="004A2A47" w:rsidP="004A2A47">
      <w:pPr>
        <w:ind w:firstLine="0"/>
        <w:rPr>
          <w:rFonts w:ascii="Times New Roman" w:eastAsia="Calibri" w:hAnsi="Times New Roman" w:cs="Times New Roman"/>
          <w:sz w:val="24"/>
        </w:rPr>
      </w:pPr>
    </w:p>
    <w:p w14:paraId="0F0CD182" w14:textId="77777777" w:rsidR="004A2A47" w:rsidRDefault="004A2A47" w:rsidP="004A2A47">
      <w:pPr>
        <w:ind w:firstLine="0"/>
        <w:rPr>
          <w:rFonts w:ascii="Times New Roman" w:eastAsia="Calibri" w:hAnsi="Times New Roman" w:cs="Times New Roman"/>
          <w:sz w:val="24"/>
        </w:rPr>
      </w:pPr>
    </w:p>
    <w:p w14:paraId="7237C380" w14:textId="77777777" w:rsidR="004A2A47" w:rsidRDefault="004A2A47" w:rsidP="004A2A47">
      <w:pPr>
        <w:ind w:firstLine="0"/>
        <w:rPr>
          <w:rFonts w:ascii="Times New Roman" w:eastAsia="Calibri" w:hAnsi="Times New Roman" w:cs="Times New Roman"/>
          <w:sz w:val="24"/>
        </w:rPr>
      </w:pPr>
    </w:p>
    <w:p w14:paraId="7A6E8E7B" w14:textId="79CE163B" w:rsidR="004A2A47" w:rsidRPr="004A2A47" w:rsidRDefault="004A2A47" w:rsidP="004A2A47">
      <w:pPr>
        <w:ind w:firstLine="0"/>
        <w:jc w:val="center"/>
        <w:rPr>
          <w:rFonts w:ascii="Times New Roman" w:eastAsia="Calibri" w:hAnsi="Times New Roman" w:cs="Times New Roman"/>
          <w:sz w:val="24"/>
        </w:rPr>
      </w:pPr>
      <w:r w:rsidRPr="004A2A47">
        <w:rPr>
          <w:rFonts w:ascii="Times New Roman" w:hAnsi="Times New Roman" w:cs="Times New Roman"/>
          <w:b/>
          <w:bCs/>
          <w:sz w:val="24"/>
        </w:rPr>
        <w:lastRenderedPageBreak/>
        <w:t>Introduction</w:t>
      </w:r>
    </w:p>
    <w:p w14:paraId="7E5CF5BF"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A government's operations depend on secure and resilient cybersecurity practices. Local, state, and federal government agencies face relentless attacks from nation-state enemies and cybercriminal groups, as well as insider threats. A layered defense approach is fundamental to maintaining available government services and national security. A comprehensive cybersecurity strategy must include firewalls, host hardening, data protection, application security, and incident response. These five cybersecurity domains assist in reducing attack surfaces, help enforce policy, protect sensitive information, and help guide organizations through security events. These domains align with government risk management efforts, including Zero Trust Architecture, data confidentiality requirements, application security, and incident response processes as defined by the National Institute of Standards and Technology.</w:t>
      </w:r>
    </w:p>
    <w:p w14:paraId="4F4CA456"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This paper claims that integrating these five domains is necessary to secure government systems against advanced, continually evolving cyber threats. To start, firewalls establish perimeter and internal network filtering. Host hardening reduces vulnerabilities across government servers, workstations, and infrastructure. Application security protects mission-critical software and reduces the risk of exploitation, while data protection safeguards classified and sensitive information throughout its lifecycle. Incident response provides a structured method for catching, controlling, and rebounding from a wide range of cyber incidents. Local, state, and federal governments provide a strong use case for integrated security. Various government agencies manage controlled, regulated data, operate legacy systems alongside advanced modern cloud platforms, and face targeted attacks from highly funded criminals and enemies. This paper will examine how these five domains work together, evaluate their strengths </w:t>
      </w:r>
      <w:r w:rsidRPr="004A2A47">
        <w:rPr>
          <w:rFonts w:ascii="Times New Roman" w:hAnsi="Times New Roman" w:cs="Times New Roman"/>
          <w:sz w:val="24"/>
        </w:rPr>
        <w:lastRenderedPageBreak/>
        <w:t>and limitations, review their application in the government sector, and provide recommendations for implementing an effective and scalable cybersecurity strategy.</w:t>
      </w:r>
    </w:p>
    <w:p w14:paraId="78FAACD5" w14:textId="77777777" w:rsidR="004A2A47" w:rsidRPr="004A2A47" w:rsidRDefault="004A2A47" w:rsidP="004A2A47">
      <w:pPr>
        <w:ind w:firstLine="0"/>
        <w:jc w:val="center"/>
        <w:rPr>
          <w:rFonts w:ascii="Times New Roman" w:hAnsi="Times New Roman" w:cs="Times New Roman"/>
          <w:b/>
          <w:bCs/>
          <w:sz w:val="24"/>
        </w:rPr>
      </w:pPr>
      <w:r w:rsidRPr="004A2A47">
        <w:rPr>
          <w:rFonts w:ascii="Times New Roman" w:hAnsi="Times New Roman" w:cs="Times New Roman"/>
          <w:b/>
          <w:bCs/>
          <w:sz w:val="24"/>
        </w:rPr>
        <w:t>Integration Analysis of the Five Domains</w:t>
      </w:r>
    </w:p>
    <w:p w14:paraId="43C56A94"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Firewalls are among the most critical components of network defense because they regulate data flow and attempt to prevent unauthorized access. Modern government networks rely on both perimeter firewalls and internal segmentation to restrict movement across sensitive systems. Research by Senthil et al. (2022) shows us that stateful firewalls integrated with software-defined networking (SDN) architectures enhance traffic filtering efficiency and control over systems. A firewall’s capabilities support the Zero Trust principle, which NIST (2020) describes as requiring continuous verification and strict policy enforcement rather than relying on implicit trust based on network location.</w:t>
      </w:r>
    </w:p>
    <w:p w14:paraId="07968BB5"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Host hardening strengthens the systems behind the firewall. Hardening of hosts involves secure configurations, lessening the services installed, enforcing strong authentication, and automating system patching. Kenfack et al. (2023) explains that automated hardening greatly lowers vulnerability by using uniform configurations across networks. ISACA highlights that host hardening also reduces cyber risk by removing unnecessary functionality and enforcing least privilege access (Barnett, 2024). Together, firewalls and hardened hosts lessen the likelihood that an attacker can exploit internal systems even if they breach the perimeter.</w:t>
      </w:r>
    </w:p>
    <w:p w14:paraId="357A4D5C"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Application security complements host defenses by addressing vulnerabilities in the software layer. Government agencies depend heavily on custom applications, legacy systems, and large-scale enterprise software. Research by Rajapakse et al. (2022) explains that application vulnerabilities are a key challenge and stresses the use of </w:t>
      </w:r>
      <w:proofErr w:type="spellStart"/>
      <w:r w:rsidRPr="004A2A47">
        <w:rPr>
          <w:rFonts w:ascii="Times New Roman" w:hAnsi="Times New Roman" w:cs="Times New Roman"/>
          <w:sz w:val="24"/>
        </w:rPr>
        <w:t>DevSecOps</w:t>
      </w:r>
      <w:proofErr w:type="spellEnd"/>
      <w:r w:rsidRPr="004A2A47">
        <w:rPr>
          <w:rFonts w:ascii="Times New Roman" w:hAnsi="Times New Roman" w:cs="Times New Roman"/>
          <w:sz w:val="24"/>
        </w:rPr>
        <w:t xml:space="preserve"> practices that integrate security into software development lifecycles to reduce risk. OWASP (2021) further documents </w:t>
      </w:r>
      <w:r w:rsidRPr="004A2A47">
        <w:rPr>
          <w:rFonts w:ascii="Times New Roman" w:hAnsi="Times New Roman" w:cs="Times New Roman"/>
          <w:sz w:val="24"/>
        </w:rPr>
        <w:lastRenderedPageBreak/>
        <w:t>widespread software weaknesses in its Top 10 list. The list highlights injection flaws, broken access controls, and insecure design patterns. Integrating application security as a cybersecurity strategy means that even if attackers reach internal services, they cannot easily exploit software weaknesses to gain elevated access or access critical data.</w:t>
      </w:r>
    </w:p>
    <w:p w14:paraId="2FF69B83"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Data protection adds to our layered defense strategy by securing information that is in use, in transit, and at rest. NIST's Data confidentiality guide (2024) speaks to the importance of classifying information assets, applying effective encryption, maintaining strong key management rules, and enforcing strong access controls. Government agencies handle sensitive data, including personally identifiable information, controlled unclassified information, health records, criminal records, and national security material, all of which require regulated protections. Melikov et al. (2024) explain that data management is essential for securing corporate and government devices because the insufficient handling of data areas and storage methods increases the chance of breaches. Information is any government's most critical asset. Data protection within a cybersecurity strategy creates a defense for critical information.</w:t>
      </w:r>
    </w:p>
    <w:p w14:paraId="22B8C94F" w14:textId="3FE2DE9F"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Incident response links the domains together by providing structured methods for detecting and managing security events. NIST's incident response guidance (2025) outlines steps such as preparation, detection, </w:t>
      </w:r>
      <w:r w:rsidR="00A50146">
        <w:rPr>
          <w:rFonts w:ascii="Times New Roman" w:hAnsi="Times New Roman" w:cs="Times New Roman"/>
          <w:sz w:val="24"/>
        </w:rPr>
        <w:t>examination</w:t>
      </w:r>
      <w:r w:rsidRPr="004A2A47">
        <w:rPr>
          <w:rFonts w:ascii="Times New Roman" w:hAnsi="Times New Roman" w:cs="Times New Roman"/>
          <w:sz w:val="24"/>
        </w:rPr>
        <w:t>, containment, eradication, recovery</w:t>
      </w:r>
      <w:r w:rsidR="006C4166">
        <w:rPr>
          <w:rFonts w:ascii="Times New Roman" w:hAnsi="Times New Roman" w:cs="Times New Roman"/>
          <w:sz w:val="24"/>
        </w:rPr>
        <w:t>, and review</w:t>
      </w:r>
      <w:r w:rsidR="00ED4BCD">
        <w:rPr>
          <w:rFonts w:ascii="Times New Roman" w:hAnsi="Times New Roman" w:cs="Times New Roman"/>
          <w:sz w:val="24"/>
        </w:rPr>
        <w:t>s after an incident</w:t>
      </w:r>
      <w:r w:rsidRPr="004A2A47">
        <w:rPr>
          <w:rFonts w:ascii="Times New Roman" w:hAnsi="Times New Roman" w:cs="Times New Roman"/>
          <w:sz w:val="24"/>
        </w:rPr>
        <w:t>. A mature incident response ability reduces downtime, prevents escalation, saves reputation, protects trust, and helps to create resilience. Bajpai and Enbody (2023) note that structured response frameworks greatly improve an organization's capability to control damage and return to normal operations. Incident response activates and coordinates all other security controls once an incident occurs.</w:t>
      </w:r>
    </w:p>
    <w:p w14:paraId="3E507EE2" w14:textId="77777777" w:rsidR="004A2A47" w:rsidRPr="004A2A47" w:rsidRDefault="004A2A47" w:rsidP="004A2A47">
      <w:pPr>
        <w:ind w:firstLine="0"/>
        <w:jc w:val="center"/>
        <w:rPr>
          <w:rFonts w:ascii="Times New Roman" w:hAnsi="Times New Roman" w:cs="Times New Roman"/>
          <w:b/>
          <w:bCs/>
          <w:sz w:val="24"/>
        </w:rPr>
      </w:pPr>
      <w:r w:rsidRPr="004A2A47">
        <w:rPr>
          <w:rFonts w:ascii="Times New Roman" w:hAnsi="Times New Roman" w:cs="Times New Roman"/>
          <w:b/>
          <w:bCs/>
          <w:sz w:val="24"/>
        </w:rPr>
        <w:t>Real-World Application and Analysis of Local, State, and Federal Governments</w:t>
      </w:r>
    </w:p>
    <w:p w14:paraId="31206CB5"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lastRenderedPageBreak/>
        <w:t xml:space="preserve">Local, state, and federal governments need an integrated security approach </w:t>
      </w:r>
      <w:proofErr w:type="gramStart"/>
      <w:r w:rsidRPr="004A2A47">
        <w:rPr>
          <w:rFonts w:ascii="Times New Roman" w:hAnsi="Times New Roman" w:cs="Times New Roman"/>
          <w:sz w:val="24"/>
        </w:rPr>
        <w:t>given their special risk environments</w:t>
      </w:r>
      <w:proofErr w:type="gramEnd"/>
      <w:r w:rsidRPr="004A2A47">
        <w:rPr>
          <w:rFonts w:ascii="Times New Roman" w:hAnsi="Times New Roman" w:cs="Times New Roman"/>
          <w:sz w:val="24"/>
        </w:rPr>
        <w:t xml:space="preserve">. Federal agencies are primary targets for nation-state actors seeking espionage, disruption, or political advantage. Local and state agencies are targets of financially motivated criminal organizations, and ransomware attacks are among the </w:t>
      </w:r>
      <w:proofErr w:type="gramStart"/>
      <w:r w:rsidRPr="004A2A47">
        <w:rPr>
          <w:rFonts w:ascii="Times New Roman" w:hAnsi="Times New Roman" w:cs="Times New Roman"/>
          <w:sz w:val="24"/>
        </w:rPr>
        <w:t>most commonly used</w:t>
      </w:r>
      <w:proofErr w:type="gramEnd"/>
      <w:r w:rsidRPr="004A2A47">
        <w:rPr>
          <w:rFonts w:ascii="Times New Roman" w:hAnsi="Times New Roman" w:cs="Times New Roman"/>
          <w:sz w:val="24"/>
        </w:rPr>
        <w:t xml:space="preserve"> threat vectors against them. Zero Trust Architecture, mandated across federal government entities, explicitly integrates firewalls, host hardening, application protections, data controls, and incident response capabilities (NIST, 2020). Each domain directly supports Zero Trust principles.</w:t>
      </w:r>
    </w:p>
    <w:p w14:paraId="43F735F8"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Firewalls support microsegmentation across agency networks, limiting lateral movement in the event of a compromise. Government networks often contain both classified and unclassified systems. Segmentation helps limit unauthorized access so that an attack on one segment does not expose the others. Hardened hosts reduce vulnerabilities across mixed systems ranging from legacy servers to modern cloud databases. Because local, state, and federal agencies maintain decades-old systems, hardening these legacy systems remains a critical compensating control (Kenfack et al., 2023).</w:t>
      </w:r>
    </w:p>
    <w:p w14:paraId="7DDE393E"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Application security is critical for government digital services. Services and applications such as public portals, internal communications platforms, applications, and records management systems used across agencies are particularly critical. OWASP (2021) identifies vulnerabilities that could uncover sensitive personal data or disrupt services if exploited. Government adoption of </w:t>
      </w:r>
      <w:proofErr w:type="spellStart"/>
      <w:r w:rsidRPr="004A2A47">
        <w:rPr>
          <w:rFonts w:ascii="Times New Roman" w:hAnsi="Times New Roman" w:cs="Times New Roman"/>
          <w:sz w:val="24"/>
        </w:rPr>
        <w:t>DevSecOps</w:t>
      </w:r>
      <w:proofErr w:type="spellEnd"/>
      <w:r w:rsidRPr="004A2A47">
        <w:rPr>
          <w:rFonts w:ascii="Times New Roman" w:hAnsi="Times New Roman" w:cs="Times New Roman"/>
          <w:sz w:val="24"/>
        </w:rPr>
        <w:t xml:space="preserve"> has increased. This increase is caused by modernization efforts documented by Rajapakse et al. (2022) that are aligning software development frameworks with federal security requirements.</w:t>
      </w:r>
    </w:p>
    <w:p w14:paraId="5146EAAC"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lastRenderedPageBreak/>
        <w:t>Data protection is central to compliance with federal laws and mandates. NIST (2024) emphasizes the need to identify and categorize sensitive information. This need is critical where data is shared across agencies or stored in cloud environments. Encryption, key management, continuous access monitoring, and multi-factor authentication reduce the risk of leaks and/or unauthorized use. Incident response is critical to maintaining the continuity of government operations (COOP) during breaches. The guidance in NIST SP 800-61r3 (2025) provides federal agencies with structured frameworks for incident management, evidence preservation, coordination with federal cybersecurity centers such as CISA and US-CERT, and post-incident analysis to strengthen future response efforts.</w:t>
      </w:r>
    </w:p>
    <w:p w14:paraId="28A598BC"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These five domains help create a security architecture that supports essential government services, secures sensitive information, improves operational resilience, strengthens agency collaboration, and counters adversaries.</w:t>
      </w:r>
    </w:p>
    <w:p w14:paraId="2070550A" w14:textId="77777777" w:rsidR="004A2A47" w:rsidRPr="004A2A47" w:rsidRDefault="004A2A47" w:rsidP="004A2A47">
      <w:pPr>
        <w:ind w:firstLine="0"/>
        <w:jc w:val="center"/>
        <w:rPr>
          <w:rFonts w:ascii="Times New Roman" w:hAnsi="Times New Roman" w:cs="Times New Roman"/>
          <w:b/>
          <w:bCs/>
          <w:sz w:val="24"/>
        </w:rPr>
      </w:pPr>
      <w:r w:rsidRPr="004A2A47">
        <w:rPr>
          <w:rFonts w:ascii="Times New Roman" w:hAnsi="Times New Roman" w:cs="Times New Roman"/>
          <w:b/>
          <w:bCs/>
          <w:sz w:val="24"/>
        </w:rPr>
        <w:t>Critical Evaluation of the Five Domains</w:t>
      </w:r>
    </w:p>
    <w:p w14:paraId="107B2558"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Each domain provides essential </w:t>
      </w:r>
      <w:proofErr w:type="gramStart"/>
      <w:r w:rsidRPr="004A2A47">
        <w:rPr>
          <w:rFonts w:ascii="Times New Roman" w:hAnsi="Times New Roman" w:cs="Times New Roman"/>
          <w:sz w:val="24"/>
        </w:rPr>
        <w:t>protections</w:t>
      </w:r>
      <w:proofErr w:type="gramEnd"/>
      <w:r w:rsidRPr="004A2A47">
        <w:rPr>
          <w:rFonts w:ascii="Times New Roman" w:hAnsi="Times New Roman" w:cs="Times New Roman"/>
          <w:sz w:val="24"/>
        </w:rPr>
        <w:t xml:space="preserve">, but each also carries limitations that require compensating measures. Firewalls cannot detect insider threats or attacks using legitimate credentials. Host hardening reduces </w:t>
      </w:r>
      <w:proofErr w:type="gramStart"/>
      <w:r w:rsidRPr="004A2A47">
        <w:rPr>
          <w:rFonts w:ascii="Times New Roman" w:hAnsi="Times New Roman" w:cs="Times New Roman"/>
          <w:sz w:val="24"/>
        </w:rPr>
        <w:t>vulnerabilities</w:t>
      </w:r>
      <w:proofErr w:type="gramEnd"/>
      <w:r w:rsidRPr="004A2A47">
        <w:rPr>
          <w:rFonts w:ascii="Times New Roman" w:hAnsi="Times New Roman" w:cs="Times New Roman"/>
          <w:sz w:val="24"/>
        </w:rPr>
        <w:t xml:space="preserve"> but hosts will still require continuous maintenance. Outdated systems or incomplete patching produce openings that attackers can exploit. Application security depends on consistent development practices. Local, state and federal government agencies maintain legacy applications that cannot be updated or modernized. Improperly managing encryption keys or misclassifying data directly compromises data protection measures. Incident response requires trained personnel and mature processes. Without proper preparation, even the best technical controls cannot prevent operational disruption.</w:t>
      </w:r>
    </w:p>
    <w:p w14:paraId="5F546A19"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lastRenderedPageBreak/>
        <w:t>The government sector faces additional constraints: aging infrastructure, limited budgets, complex interagency coordination, and strict compliance requirements. These factors can and often do slow the implementation of best practices. Applying these five domains in a layered approach reduces individual weaknesses and strengthens overall resilience.</w:t>
      </w:r>
    </w:p>
    <w:p w14:paraId="29EE8EC9" w14:textId="77777777" w:rsidR="004A2A47" w:rsidRPr="00F84619" w:rsidRDefault="004A2A47" w:rsidP="00F84619">
      <w:pPr>
        <w:ind w:firstLine="0"/>
        <w:jc w:val="center"/>
        <w:rPr>
          <w:rFonts w:ascii="Times New Roman" w:hAnsi="Times New Roman" w:cs="Times New Roman"/>
          <w:b/>
          <w:bCs/>
          <w:sz w:val="24"/>
        </w:rPr>
      </w:pPr>
      <w:r w:rsidRPr="00F84619">
        <w:rPr>
          <w:rFonts w:ascii="Times New Roman" w:hAnsi="Times New Roman" w:cs="Times New Roman"/>
          <w:b/>
          <w:bCs/>
          <w:sz w:val="24"/>
        </w:rPr>
        <w:t>Best Practices for Government Cybersecurity</w:t>
      </w:r>
    </w:p>
    <w:p w14:paraId="3FE87C6D"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Local, state, and federal government agencies benefit from adopting a unified security strategy that incorporates these five domains under a Zero Trust framework. Best practices include installing next-generation firewalls with micro-segmentation, automating host hardening using configuration management tools, merging </w:t>
      </w:r>
      <w:proofErr w:type="spellStart"/>
      <w:r w:rsidRPr="004A2A47">
        <w:rPr>
          <w:rFonts w:ascii="Times New Roman" w:hAnsi="Times New Roman" w:cs="Times New Roman"/>
          <w:sz w:val="24"/>
        </w:rPr>
        <w:t>DevSecOps</w:t>
      </w:r>
      <w:proofErr w:type="spellEnd"/>
      <w:r w:rsidRPr="004A2A47">
        <w:rPr>
          <w:rFonts w:ascii="Times New Roman" w:hAnsi="Times New Roman" w:cs="Times New Roman"/>
          <w:sz w:val="24"/>
        </w:rPr>
        <w:t xml:space="preserve"> into software development, and aligning data protection with NIST SP 1800-28. Agencies should also strengthen incident response by conducting regular tabletop exercises, implementing continuous monitoring, providing personnel with ongoing training, and routinely updating incident response plans.</w:t>
      </w:r>
    </w:p>
    <w:p w14:paraId="54FA3F68"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Local, state, and federal governments must regularly review and refine their security measures to keep up with evolving threats and technologies. A coordinated approach that is built on automation, collaboration, visibility, and shared governance serves to strengthen compliance, enhance response efforts, reduce operational risk, and sustain critical government services.</w:t>
      </w:r>
    </w:p>
    <w:p w14:paraId="2952D405" w14:textId="77777777" w:rsidR="004A2A47" w:rsidRPr="00F84619" w:rsidRDefault="004A2A47" w:rsidP="00F84619">
      <w:pPr>
        <w:ind w:firstLine="0"/>
        <w:jc w:val="center"/>
        <w:rPr>
          <w:rFonts w:ascii="Times New Roman" w:hAnsi="Times New Roman" w:cs="Times New Roman"/>
          <w:b/>
          <w:bCs/>
          <w:sz w:val="24"/>
        </w:rPr>
      </w:pPr>
      <w:r w:rsidRPr="00F84619">
        <w:rPr>
          <w:rFonts w:ascii="Times New Roman" w:hAnsi="Times New Roman" w:cs="Times New Roman"/>
          <w:b/>
          <w:bCs/>
          <w:sz w:val="24"/>
        </w:rPr>
        <w:t>Conclusion</w:t>
      </w:r>
    </w:p>
    <w:p w14:paraId="699C7F88" w14:textId="77777777" w:rsidR="004A2A47"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A comprehensive cybersecurity strategy for local, state, and federal governments requires the coordinated use of firewalls, host hardening, application security, data protection, and incident response. These five domains support each other and form a layered defense that protects and supports critical assets and operations. A firewall controls and monitors network traffic and reduces exposure to attacks. Hardening hosts helps minimize system vulnerabilities. Application security helps prevent software vulnerability attacks. Data protection provides </w:t>
      </w:r>
      <w:r w:rsidRPr="004A2A47">
        <w:rPr>
          <w:rFonts w:ascii="Times New Roman" w:hAnsi="Times New Roman" w:cs="Times New Roman"/>
          <w:sz w:val="24"/>
        </w:rPr>
        <w:lastRenderedPageBreak/>
        <w:t xml:space="preserve">security </w:t>
      </w:r>
      <w:proofErr w:type="gramStart"/>
      <w:r w:rsidRPr="004A2A47">
        <w:rPr>
          <w:rFonts w:ascii="Times New Roman" w:hAnsi="Times New Roman" w:cs="Times New Roman"/>
          <w:sz w:val="24"/>
        </w:rPr>
        <w:t>to</w:t>
      </w:r>
      <w:proofErr w:type="gramEnd"/>
      <w:r w:rsidRPr="004A2A47">
        <w:rPr>
          <w:rFonts w:ascii="Times New Roman" w:hAnsi="Times New Roman" w:cs="Times New Roman"/>
          <w:sz w:val="24"/>
        </w:rPr>
        <w:t xml:space="preserve"> sensitive information. Incident response provides continuity if a breach occurs. When an organization integrates these five domains into a corporate computer security strategy, a resilient cybersecurity posture develops that can help mitigate modern threats.</w:t>
      </w:r>
    </w:p>
    <w:p w14:paraId="4216DB84" w14:textId="33D57BB1" w:rsidR="00ED2F1D" w:rsidRPr="004A2A47" w:rsidRDefault="004A2A47" w:rsidP="004A2A47">
      <w:pPr>
        <w:rPr>
          <w:rFonts w:ascii="Times New Roman" w:hAnsi="Times New Roman" w:cs="Times New Roman"/>
          <w:sz w:val="24"/>
        </w:rPr>
      </w:pPr>
      <w:r w:rsidRPr="004A2A47">
        <w:rPr>
          <w:rFonts w:ascii="Times New Roman" w:hAnsi="Times New Roman" w:cs="Times New Roman"/>
          <w:sz w:val="24"/>
        </w:rPr>
        <w:t xml:space="preserve">The future trends and emerging challenges for all government agencies include preparing for artificial intelligence cyberattacks, fast cloud adoption, critical infrastructure </w:t>
      </w:r>
      <w:proofErr w:type="gramStart"/>
      <w:r w:rsidRPr="004A2A47">
        <w:rPr>
          <w:rFonts w:ascii="Times New Roman" w:hAnsi="Times New Roman" w:cs="Times New Roman"/>
          <w:sz w:val="24"/>
        </w:rPr>
        <w:t>interdependencies</w:t>
      </w:r>
      <w:proofErr w:type="gramEnd"/>
      <w:r w:rsidRPr="004A2A47">
        <w:rPr>
          <w:rFonts w:ascii="Times New Roman" w:hAnsi="Times New Roman" w:cs="Times New Roman"/>
          <w:sz w:val="24"/>
        </w:rPr>
        <w:t>, and quantum computing cryptography. Strengthening these five domains and improving integration across them will be important for maintaining security as the threat landscape evolves and matures. A layered, adaptive, continually researched and educated, and cooperative multi-agency approach across local, state, and federal governments remains the most reliable way to protect government systems.</w:t>
      </w:r>
    </w:p>
    <w:p w14:paraId="1231C640" w14:textId="4D7318A9" w:rsidR="00AD2069" w:rsidRPr="00AD2069" w:rsidRDefault="00AD2069" w:rsidP="00AD2069">
      <w:pPr>
        <w:rPr>
          <w:rFonts w:ascii="Times New Roman" w:hAnsi="Times New Roman" w:cs="Times New Roman"/>
          <w:sz w:val="24"/>
        </w:rPr>
      </w:pPr>
    </w:p>
    <w:p w14:paraId="68C194CA" w14:textId="4345A5C9" w:rsidR="00A07416" w:rsidRPr="007656FA" w:rsidRDefault="00A07416" w:rsidP="00910F0A">
      <w:pPr>
        <w:rPr>
          <w:rFonts w:ascii="Times New Roman" w:hAnsi="Times New Roman" w:cs="Times New Roman"/>
          <w:sz w:val="24"/>
        </w:rPr>
      </w:pPr>
    </w:p>
    <w:p w14:paraId="5D1F3A48" w14:textId="355FBACB" w:rsidR="00CA04BB" w:rsidRPr="00CA04BB" w:rsidRDefault="0066443E" w:rsidP="0066443E">
      <w:pPr>
        <w:rPr>
          <w:rFonts w:ascii="Times New Roman" w:hAnsi="Times New Roman" w:cs="Times New Roman"/>
          <w:sz w:val="24"/>
        </w:rPr>
      </w:pPr>
      <w:r w:rsidRPr="0066443E">
        <w:rPr>
          <w:rFonts w:ascii="Times New Roman" w:hAnsi="Times New Roman" w:cs="Times New Roman"/>
          <w:sz w:val="24"/>
        </w:rPr>
        <w:t xml:space="preserve"> </w:t>
      </w: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74393155" w14:textId="0E2E8F12" w:rsidR="00B24BA9" w:rsidRDefault="004B02FD" w:rsidP="00C148C0">
      <w:pPr>
        <w:ind w:left="720" w:hanging="720"/>
        <w:rPr>
          <w:rFonts w:ascii="Times New Roman" w:hAnsi="Times New Roman" w:cs="Times New Roman"/>
          <w:sz w:val="24"/>
        </w:rPr>
      </w:pPr>
      <w:r w:rsidRPr="004B02FD">
        <w:rPr>
          <w:rFonts w:ascii="Times New Roman" w:hAnsi="Times New Roman" w:cs="Times New Roman"/>
          <w:sz w:val="24"/>
        </w:rPr>
        <w:t>Senthil, P., Kavin, B. P., Srividhya, S. R., Ramachandran, V., Kavitha, C., &amp; Lai, W.-C</w:t>
      </w:r>
      <w:r w:rsidR="004440A6" w:rsidRPr="004440A6">
        <w:rPr>
          <w:rFonts w:ascii="Times New Roman" w:hAnsi="Times New Roman" w:cs="Times New Roman"/>
          <w:sz w:val="24"/>
        </w:rPr>
        <w:t xml:space="preserve">. (2022). </w:t>
      </w:r>
      <w:r w:rsidR="004440A6" w:rsidRPr="006A7A91">
        <w:rPr>
          <w:rFonts w:ascii="Times New Roman" w:hAnsi="Times New Roman" w:cs="Times New Roman"/>
          <w:i/>
          <w:iCs/>
          <w:sz w:val="24"/>
        </w:rPr>
        <w:t xml:space="preserve">Performance </w:t>
      </w:r>
      <w:r w:rsidR="00864182" w:rsidRPr="006A7A91">
        <w:rPr>
          <w:rFonts w:ascii="Times New Roman" w:hAnsi="Times New Roman" w:cs="Times New Roman"/>
          <w:i/>
          <w:iCs/>
          <w:sz w:val="24"/>
        </w:rPr>
        <w:t>e</w:t>
      </w:r>
      <w:r w:rsidR="004440A6" w:rsidRPr="006A7A91">
        <w:rPr>
          <w:rFonts w:ascii="Times New Roman" w:hAnsi="Times New Roman" w:cs="Times New Roman"/>
          <w:i/>
          <w:iCs/>
          <w:sz w:val="24"/>
        </w:rPr>
        <w:t xml:space="preserve">valuation of </w:t>
      </w:r>
      <w:r w:rsidR="0036023D" w:rsidRPr="006A7A91">
        <w:rPr>
          <w:rFonts w:ascii="Times New Roman" w:hAnsi="Times New Roman" w:cs="Times New Roman"/>
          <w:i/>
          <w:iCs/>
          <w:sz w:val="24"/>
        </w:rPr>
        <w:t>s</w:t>
      </w:r>
      <w:r w:rsidR="004440A6" w:rsidRPr="006A7A91">
        <w:rPr>
          <w:rFonts w:ascii="Times New Roman" w:hAnsi="Times New Roman" w:cs="Times New Roman"/>
          <w:i/>
          <w:iCs/>
          <w:sz w:val="24"/>
        </w:rPr>
        <w:t xml:space="preserve">tateful </w:t>
      </w:r>
      <w:r w:rsidR="0036023D" w:rsidRPr="006A7A91">
        <w:rPr>
          <w:rFonts w:ascii="Times New Roman" w:hAnsi="Times New Roman" w:cs="Times New Roman"/>
          <w:i/>
          <w:iCs/>
          <w:sz w:val="24"/>
        </w:rPr>
        <w:t>f</w:t>
      </w:r>
      <w:r w:rsidR="004440A6" w:rsidRPr="006A7A91">
        <w:rPr>
          <w:rFonts w:ascii="Times New Roman" w:hAnsi="Times New Roman" w:cs="Times New Roman"/>
          <w:i/>
          <w:iCs/>
          <w:sz w:val="24"/>
        </w:rPr>
        <w:t>irewall-</w:t>
      </w:r>
      <w:r w:rsidR="0036023D" w:rsidRPr="006A7A91">
        <w:rPr>
          <w:rFonts w:ascii="Times New Roman" w:hAnsi="Times New Roman" w:cs="Times New Roman"/>
          <w:i/>
          <w:iCs/>
          <w:sz w:val="24"/>
        </w:rPr>
        <w:t>e</w:t>
      </w:r>
      <w:r w:rsidR="004440A6" w:rsidRPr="006A7A91">
        <w:rPr>
          <w:rFonts w:ascii="Times New Roman" w:hAnsi="Times New Roman" w:cs="Times New Roman"/>
          <w:i/>
          <w:iCs/>
          <w:sz w:val="24"/>
        </w:rPr>
        <w:t xml:space="preserve">nabled SDN with </w:t>
      </w:r>
      <w:r w:rsidR="0036023D" w:rsidRPr="006A7A91">
        <w:rPr>
          <w:rFonts w:ascii="Times New Roman" w:hAnsi="Times New Roman" w:cs="Times New Roman"/>
          <w:i/>
          <w:iCs/>
          <w:sz w:val="24"/>
        </w:rPr>
        <w:t>f</w:t>
      </w:r>
      <w:r w:rsidR="004440A6" w:rsidRPr="006A7A91">
        <w:rPr>
          <w:rFonts w:ascii="Times New Roman" w:hAnsi="Times New Roman" w:cs="Times New Roman"/>
          <w:i/>
          <w:iCs/>
          <w:sz w:val="24"/>
        </w:rPr>
        <w:t>low-</w:t>
      </w:r>
      <w:r w:rsidR="0036023D" w:rsidRPr="006A7A91">
        <w:rPr>
          <w:rFonts w:ascii="Times New Roman" w:hAnsi="Times New Roman" w:cs="Times New Roman"/>
          <w:i/>
          <w:iCs/>
          <w:sz w:val="24"/>
        </w:rPr>
        <w:t>b</w:t>
      </w:r>
      <w:r w:rsidR="004440A6" w:rsidRPr="006A7A91">
        <w:rPr>
          <w:rFonts w:ascii="Times New Roman" w:hAnsi="Times New Roman" w:cs="Times New Roman"/>
          <w:i/>
          <w:iCs/>
          <w:sz w:val="24"/>
        </w:rPr>
        <w:t xml:space="preserve">ased </w:t>
      </w:r>
      <w:r w:rsidR="0036023D" w:rsidRPr="006A7A91">
        <w:rPr>
          <w:rFonts w:ascii="Times New Roman" w:hAnsi="Times New Roman" w:cs="Times New Roman"/>
          <w:i/>
          <w:iCs/>
          <w:sz w:val="24"/>
        </w:rPr>
        <w:t>s</w:t>
      </w:r>
      <w:r w:rsidR="004440A6" w:rsidRPr="006A7A91">
        <w:rPr>
          <w:rFonts w:ascii="Times New Roman" w:hAnsi="Times New Roman" w:cs="Times New Roman"/>
          <w:i/>
          <w:iCs/>
          <w:sz w:val="24"/>
        </w:rPr>
        <w:t xml:space="preserve">cheduling for </w:t>
      </w:r>
      <w:r w:rsidR="0036023D" w:rsidRPr="006A7A91">
        <w:rPr>
          <w:rFonts w:ascii="Times New Roman" w:hAnsi="Times New Roman" w:cs="Times New Roman"/>
          <w:i/>
          <w:iCs/>
          <w:sz w:val="24"/>
        </w:rPr>
        <w:t>d</w:t>
      </w:r>
      <w:r w:rsidR="004440A6" w:rsidRPr="006A7A91">
        <w:rPr>
          <w:rFonts w:ascii="Times New Roman" w:hAnsi="Times New Roman" w:cs="Times New Roman"/>
          <w:i/>
          <w:iCs/>
          <w:sz w:val="24"/>
        </w:rPr>
        <w:t xml:space="preserve">istributed </w:t>
      </w:r>
      <w:r w:rsidR="0036023D" w:rsidRPr="006A7A91">
        <w:rPr>
          <w:rFonts w:ascii="Times New Roman" w:hAnsi="Times New Roman" w:cs="Times New Roman"/>
          <w:i/>
          <w:iCs/>
          <w:sz w:val="24"/>
        </w:rPr>
        <w:t>c</w:t>
      </w:r>
      <w:r w:rsidR="004440A6" w:rsidRPr="006A7A91">
        <w:rPr>
          <w:rFonts w:ascii="Times New Roman" w:hAnsi="Times New Roman" w:cs="Times New Roman"/>
          <w:i/>
          <w:iCs/>
          <w:sz w:val="24"/>
        </w:rPr>
        <w:t>ontrollers.</w:t>
      </w:r>
      <w:r w:rsidR="004440A6" w:rsidRPr="004440A6">
        <w:rPr>
          <w:rFonts w:ascii="Times New Roman" w:hAnsi="Times New Roman" w:cs="Times New Roman"/>
          <w:sz w:val="24"/>
        </w:rPr>
        <w:t xml:space="preserve"> </w:t>
      </w:r>
      <w:r w:rsidR="004440A6" w:rsidRPr="004440A6">
        <w:rPr>
          <w:rFonts w:ascii="Times New Roman" w:hAnsi="Times New Roman" w:cs="Times New Roman"/>
          <w:i/>
          <w:iCs/>
          <w:sz w:val="24"/>
        </w:rPr>
        <w:t>Electronics</w:t>
      </w:r>
      <w:r w:rsidR="004440A6" w:rsidRPr="004440A6">
        <w:rPr>
          <w:rFonts w:ascii="Times New Roman" w:hAnsi="Times New Roman" w:cs="Times New Roman"/>
          <w:sz w:val="24"/>
        </w:rPr>
        <w:t xml:space="preserve">, </w:t>
      </w:r>
      <w:r w:rsidR="004440A6" w:rsidRPr="004440A6">
        <w:rPr>
          <w:rFonts w:ascii="Times New Roman" w:hAnsi="Times New Roman" w:cs="Times New Roman"/>
          <w:i/>
          <w:iCs/>
          <w:sz w:val="24"/>
        </w:rPr>
        <w:t>11</w:t>
      </w:r>
      <w:r w:rsidR="004440A6" w:rsidRPr="004440A6">
        <w:rPr>
          <w:rFonts w:ascii="Times New Roman" w:hAnsi="Times New Roman" w:cs="Times New Roman"/>
          <w:sz w:val="24"/>
        </w:rPr>
        <w:t xml:space="preserve">(19), 3000. </w:t>
      </w:r>
      <w:hyperlink r:id="rId10" w:history="1">
        <w:r w:rsidR="00841718" w:rsidRPr="00242581">
          <w:rPr>
            <w:rStyle w:val="Hyperlink"/>
            <w:rFonts w:ascii="Times New Roman" w:hAnsi="Times New Roman" w:cs="Times New Roman"/>
            <w:sz w:val="24"/>
          </w:rPr>
          <w:t>https://doi.org/10.3390/electronics11193000</w:t>
        </w:r>
      </w:hyperlink>
      <w:r w:rsidR="004440A6" w:rsidRPr="004440A6">
        <w:rPr>
          <w:rFonts w:ascii="Times New Roman" w:hAnsi="Times New Roman" w:cs="Times New Roman"/>
          <w:sz w:val="24"/>
        </w:rPr>
        <w:t xml:space="preserve"> </w:t>
      </w:r>
    </w:p>
    <w:p w14:paraId="057D0E9F" w14:textId="04942FC2" w:rsidR="00B232C4" w:rsidRDefault="008511D0" w:rsidP="00C148C0">
      <w:pPr>
        <w:ind w:left="720" w:hanging="720"/>
        <w:rPr>
          <w:rFonts w:ascii="Times New Roman" w:hAnsi="Times New Roman" w:cs="Times New Roman"/>
          <w:sz w:val="24"/>
        </w:rPr>
      </w:pPr>
      <w:r w:rsidRPr="008511D0">
        <w:rPr>
          <w:rFonts w:ascii="Times New Roman" w:hAnsi="Times New Roman" w:cs="Times New Roman"/>
          <w:sz w:val="24"/>
        </w:rPr>
        <w:t xml:space="preserve">National Institute of Standards and Technology. (2020, August). </w:t>
      </w:r>
      <w:r w:rsidRPr="008511D0">
        <w:rPr>
          <w:rFonts w:ascii="Times New Roman" w:hAnsi="Times New Roman" w:cs="Times New Roman"/>
          <w:i/>
          <w:iCs/>
          <w:sz w:val="24"/>
        </w:rPr>
        <w:t>Zero trust architecture</w:t>
      </w:r>
      <w:r w:rsidRPr="008511D0">
        <w:rPr>
          <w:rFonts w:ascii="Times New Roman" w:hAnsi="Times New Roman" w:cs="Times New Roman"/>
          <w:sz w:val="24"/>
        </w:rPr>
        <w:t xml:space="preserve"> </w:t>
      </w:r>
      <w:r w:rsidR="0059007A" w:rsidRPr="0059007A">
        <w:rPr>
          <w:rFonts w:ascii="Times New Roman" w:hAnsi="Times New Roman" w:cs="Times New Roman"/>
          <w:sz w:val="24"/>
        </w:rPr>
        <w:t>(NIST SP 800-207)</w:t>
      </w:r>
      <w:r w:rsidRPr="008511D0">
        <w:rPr>
          <w:rFonts w:ascii="Times New Roman" w:hAnsi="Times New Roman" w:cs="Times New Roman"/>
          <w:sz w:val="24"/>
        </w:rPr>
        <w:t xml:space="preserve">. </w:t>
      </w:r>
      <w:hyperlink r:id="rId11" w:tgtFrame="_blank" w:history="1">
        <w:r w:rsidRPr="008511D0">
          <w:rPr>
            <w:rStyle w:val="Hyperlink"/>
            <w:rFonts w:ascii="Times New Roman" w:hAnsi="Times New Roman" w:cs="Times New Roman"/>
            <w:sz w:val="24"/>
          </w:rPr>
          <w:t>https://nvlpubs.nist.gov/nistpubs/SpecialPublications/NIST.SP.800-207.pdf</w:t>
        </w:r>
      </w:hyperlink>
    </w:p>
    <w:p w14:paraId="2DCF8364" w14:textId="447988AC" w:rsidR="00841718" w:rsidRDefault="002E3EC2" w:rsidP="00C148C0">
      <w:pPr>
        <w:ind w:left="720" w:hanging="720"/>
        <w:rPr>
          <w:rFonts w:ascii="Times New Roman" w:hAnsi="Times New Roman" w:cs="Times New Roman"/>
          <w:sz w:val="24"/>
        </w:rPr>
      </w:pPr>
      <w:r w:rsidRPr="002E3EC2">
        <w:rPr>
          <w:rFonts w:ascii="Times New Roman" w:hAnsi="Times New Roman" w:cs="Times New Roman"/>
          <w:sz w:val="24"/>
        </w:rPr>
        <w:t xml:space="preserve">Kenfack, P., Abana, A., Tonye, E., &amp; Leka, G. (2023). Strengthening the security of supervised networks by automating hardening mechanisms. </w:t>
      </w:r>
      <w:r w:rsidRPr="002E3EC2">
        <w:rPr>
          <w:rFonts w:ascii="Times New Roman" w:hAnsi="Times New Roman" w:cs="Times New Roman"/>
          <w:i/>
          <w:iCs/>
          <w:sz w:val="24"/>
        </w:rPr>
        <w:t>Journal of Computer and Communications</w:t>
      </w:r>
      <w:r w:rsidRPr="002E3EC2">
        <w:rPr>
          <w:rFonts w:ascii="Times New Roman" w:hAnsi="Times New Roman" w:cs="Times New Roman"/>
          <w:sz w:val="24"/>
        </w:rPr>
        <w:t xml:space="preserve">, </w:t>
      </w:r>
      <w:r w:rsidRPr="002E3EC2">
        <w:rPr>
          <w:rFonts w:ascii="Times New Roman" w:hAnsi="Times New Roman" w:cs="Times New Roman"/>
          <w:i/>
          <w:iCs/>
          <w:sz w:val="24"/>
        </w:rPr>
        <w:t>11</w:t>
      </w:r>
      <w:r w:rsidRPr="002E3EC2">
        <w:rPr>
          <w:rFonts w:ascii="Times New Roman" w:hAnsi="Times New Roman" w:cs="Times New Roman"/>
          <w:sz w:val="24"/>
        </w:rPr>
        <w:t xml:space="preserve">(05), 108–136. </w:t>
      </w:r>
      <w:hyperlink r:id="rId12" w:tgtFrame="_blank" w:history="1">
        <w:r w:rsidRPr="002E3EC2">
          <w:rPr>
            <w:rStyle w:val="Hyperlink"/>
            <w:rFonts w:ascii="Times New Roman" w:hAnsi="Times New Roman" w:cs="Times New Roman"/>
            <w:sz w:val="24"/>
          </w:rPr>
          <w:t>https://doi.org/10.4236/jcc.2023.115009</w:t>
        </w:r>
      </w:hyperlink>
    </w:p>
    <w:p w14:paraId="0620FBDA" w14:textId="1A88382B" w:rsidR="0052711A" w:rsidRDefault="00BE2B0D" w:rsidP="00C148C0">
      <w:pPr>
        <w:ind w:left="720" w:hanging="720"/>
        <w:rPr>
          <w:rFonts w:ascii="Times New Roman" w:hAnsi="Times New Roman" w:cs="Times New Roman"/>
          <w:sz w:val="24"/>
        </w:rPr>
      </w:pPr>
      <w:r w:rsidRPr="00BE2B0D">
        <w:rPr>
          <w:rFonts w:ascii="Times New Roman" w:hAnsi="Times New Roman" w:cs="Times New Roman"/>
          <w:sz w:val="24"/>
        </w:rPr>
        <w:t xml:space="preserve">Barnett, P. (2024, July 19). </w:t>
      </w:r>
      <w:r w:rsidRPr="00BE2B0D">
        <w:rPr>
          <w:rFonts w:ascii="Times New Roman" w:hAnsi="Times New Roman" w:cs="Times New Roman"/>
          <w:i/>
          <w:iCs/>
          <w:sz w:val="24"/>
        </w:rPr>
        <w:t xml:space="preserve">Can hardening reduce </w:t>
      </w:r>
      <w:proofErr w:type="spellStart"/>
      <w:proofErr w:type="gramStart"/>
      <w:r w:rsidRPr="00BE2B0D">
        <w:rPr>
          <w:rFonts w:ascii="Times New Roman" w:hAnsi="Times New Roman" w:cs="Times New Roman"/>
          <w:i/>
          <w:iCs/>
          <w:sz w:val="24"/>
        </w:rPr>
        <w:t>cyberrisk</w:t>
      </w:r>
      <w:proofErr w:type="spellEnd"/>
      <w:proofErr w:type="gramEnd"/>
      <w:r w:rsidRPr="00BE2B0D">
        <w:rPr>
          <w:rFonts w:ascii="Times New Roman" w:hAnsi="Times New Roman" w:cs="Times New Roman"/>
          <w:i/>
          <w:iCs/>
          <w:sz w:val="24"/>
        </w:rPr>
        <w:t>?</w:t>
      </w:r>
      <w:r w:rsidRPr="00BE2B0D">
        <w:rPr>
          <w:rFonts w:ascii="Times New Roman" w:hAnsi="Times New Roman" w:cs="Times New Roman"/>
          <w:sz w:val="24"/>
        </w:rPr>
        <w:t xml:space="preserve"> ISACA. </w:t>
      </w:r>
      <w:hyperlink r:id="rId13" w:tgtFrame="_blank" w:history="1">
        <w:r w:rsidRPr="00BE2B0D">
          <w:rPr>
            <w:rStyle w:val="Hyperlink"/>
            <w:rFonts w:ascii="Times New Roman" w:hAnsi="Times New Roman" w:cs="Times New Roman"/>
            <w:sz w:val="24"/>
          </w:rPr>
          <w:t>https://www.isaca.org/resources/news-and-trends/industry-news/2024/can-hardening-reduce-cyberrisk</w:t>
        </w:r>
      </w:hyperlink>
    </w:p>
    <w:p w14:paraId="11C6FCE8" w14:textId="36340690" w:rsidR="00895DB5" w:rsidRDefault="00593648" w:rsidP="00C148C0">
      <w:pPr>
        <w:ind w:left="720" w:hanging="720"/>
        <w:rPr>
          <w:rFonts w:ascii="Times New Roman" w:hAnsi="Times New Roman" w:cs="Times New Roman"/>
          <w:sz w:val="24"/>
        </w:rPr>
      </w:pPr>
      <w:r w:rsidRPr="00593648">
        <w:rPr>
          <w:rFonts w:ascii="Times New Roman" w:hAnsi="Times New Roman" w:cs="Times New Roman"/>
          <w:sz w:val="24"/>
        </w:rPr>
        <w:t xml:space="preserve">Rajapakse, R. N., Zahedi, M., Babar, M. A., &amp; Shen, H. (2022). </w:t>
      </w:r>
      <w:r w:rsidRPr="00C006E9">
        <w:rPr>
          <w:rFonts w:ascii="Times New Roman" w:hAnsi="Times New Roman" w:cs="Times New Roman"/>
          <w:i/>
          <w:iCs/>
          <w:sz w:val="24"/>
        </w:rPr>
        <w:t xml:space="preserve">Challenges and solutions when adopting </w:t>
      </w:r>
      <w:proofErr w:type="spellStart"/>
      <w:r w:rsidR="00AF407A" w:rsidRPr="00C006E9">
        <w:rPr>
          <w:rFonts w:ascii="Times New Roman" w:hAnsi="Times New Roman" w:cs="Times New Roman"/>
          <w:i/>
          <w:iCs/>
          <w:sz w:val="24"/>
        </w:rPr>
        <w:t>D</w:t>
      </w:r>
      <w:r w:rsidRPr="00C006E9">
        <w:rPr>
          <w:rFonts w:ascii="Times New Roman" w:hAnsi="Times New Roman" w:cs="Times New Roman"/>
          <w:i/>
          <w:iCs/>
          <w:sz w:val="24"/>
        </w:rPr>
        <w:t>ev</w:t>
      </w:r>
      <w:r w:rsidR="00AF407A" w:rsidRPr="00C006E9">
        <w:rPr>
          <w:rFonts w:ascii="Times New Roman" w:hAnsi="Times New Roman" w:cs="Times New Roman"/>
          <w:i/>
          <w:iCs/>
          <w:sz w:val="24"/>
        </w:rPr>
        <w:t>S</w:t>
      </w:r>
      <w:r w:rsidRPr="00C006E9">
        <w:rPr>
          <w:rFonts w:ascii="Times New Roman" w:hAnsi="Times New Roman" w:cs="Times New Roman"/>
          <w:i/>
          <w:iCs/>
          <w:sz w:val="24"/>
        </w:rPr>
        <w:t>ec</w:t>
      </w:r>
      <w:r w:rsidR="00F85CBF" w:rsidRPr="00C006E9">
        <w:rPr>
          <w:rFonts w:ascii="Times New Roman" w:hAnsi="Times New Roman" w:cs="Times New Roman"/>
          <w:i/>
          <w:iCs/>
          <w:sz w:val="24"/>
        </w:rPr>
        <w:t>O</w:t>
      </w:r>
      <w:r w:rsidRPr="00C006E9">
        <w:rPr>
          <w:rFonts w:ascii="Times New Roman" w:hAnsi="Times New Roman" w:cs="Times New Roman"/>
          <w:i/>
          <w:iCs/>
          <w:sz w:val="24"/>
        </w:rPr>
        <w:t>ps</w:t>
      </w:r>
      <w:proofErr w:type="spellEnd"/>
      <w:r w:rsidRPr="00C006E9">
        <w:rPr>
          <w:rFonts w:ascii="Times New Roman" w:hAnsi="Times New Roman" w:cs="Times New Roman"/>
          <w:i/>
          <w:iCs/>
          <w:sz w:val="24"/>
        </w:rPr>
        <w:t>: A systematic review.</w:t>
      </w:r>
      <w:r w:rsidRPr="00593648">
        <w:rPr>
          <w:rFonts w:ascii="Times New Roman" w:hAnsi="Times New Roman" w:cs="Times New Roman"/>
          <w:sz w:val="24"/>
        </w:rPr>
        <w:t xml:space="preserve"> </w:t>
      </w:r>
      <w:r w:rsidRPr="00593648">
        <w:rPr>
          <w:rFonts w:ascii="Times New Roman" w:hAnsi="Times New Roman" w:cs="Times New Roman"/>
          <w:i/>
          <w:iCs/>
          <w:sz w:val="24"/>
        </w:rPr>
        <w:t>Information and Software Technology</w:t>
      </w:r>
      <w:r w:rsidRPr="00593648">
        <w:rPr>
          <w:rFonts w:ascii="Times New Roman" w:hAnsi="Times New Roman" w:cs="Times New Roman"/>
          <w:sz w:val="24"/>
        </w:rPr>
        <w:t xml:space="preserve">, </w:t>
      </w:r>
      <w:r w:rsidRPr="00593648">
        <w:rPr>
          <w:rFonts w:ascii="Times New Roman" w:hAnsi="Times New Roman" w:cs="Times New Roman"/>
          <w:i/>
          <w:iCs/>
          <w:sz w:val="24"/>
        </w:rPr>
        <w:t>141</w:t>
      </w:r>
      <w:r w:rsidRPr="00593648">
        <w:rPr>
          <w:rFonts w:ascii="Times New Roman" w:hAnsi="Times New Roman" w:cs="Times New Roman"/>
          <w:sz w:val="24"/>
        </w:rPr>
        <w:t xml:space="preserve">. </w:t>
      </w:r>
      <w:hyperlink r:id="rId14" w:tgtFrame="_blank" w:history="1">
        <w:r w:rsidRPr="00593648">
          <w:rPr>
            <w:rStyle w:val="Hyperlink"/>
            <w:rFonts w:ascii="Times New Roman" w:hAnsi="Times New Roman" w:cs="Times New Roman"/>
            <w:sz w:val="24"/>
          </w:rPr>
          <w:t>https://doi.org/10.1016/j.infsof.2021.106700</w:t>
        </w:r>
      </w:hyperlink>
    </w:p>
    <w:p w14:paraId="407C162B" w14:textId="2484A4EA" w:rsidR="00283DDD" w:rsidRDefault="00283DDD" w:rsidP="00C148C0">
      <w:pPr>
        <w:ind w:left="720" w:hanging="720"/>
        <w:rPr>
          <w:rFonts w:ascii="Times New Roman" w:hAnsi="Times New Roman" w:cs="Times New Roman"/>
          <w:sz w:val="24"/>
        </w:rPr>
      </w:pPr>
      <w:r w:rsidRPr="00283DDD">
        <w:rPr>
          <w:rFonts w:ascii="Times New Roman" w:hAnsi="Times New Roman" w:cs="Times New Roman"/>
          <w:sz w:val="24"/>
        </w:rPr>
        <w:t xml:space="preserve">OWASP. (2021). </w:t>
      </w:r>
      <w:r w:rsidR="00A05F50">
        <w:rPr>
          <w:rFonts w:ascii="Times New Roman" w:hAnsi="Times New Roman" w:cs="Times New Roman"/>
          <w:i/>
          <w:iCs/>
          <w:sz w:val="24"/>
        </w:rPr>
        <w:t>OWASP</w:t>
      </w:r>
      <w:r w:rsidR="00C37BCC">
        <w:rPr>
          <w:rFonts w:ascii="Times New Roman" w:hAnsi="Times New Roman" w:cs="Times New Roman"/>
          <w:i/>
          <w:iCs/>
          <w:sz w:val="24"/>
        </w:rPr>
        <w:t xml:space="preserve"> </w:t>
      </w:r>
      <w:r w:rsidR="00B34462">
        <w:rPr>
          <w:rFonts w:ascii="Times New Roman" w:hAnsi="Times New Roman" w:cs="Times New Roman"/>
          <w:i/>
          <w:iCs/>
          <w:sz w:val="24"/>
        </w:rPr>
        <w:t>T</w:t>
      </w:r>
      <w:r w:rsidRPr="00283DDD">
        <w:rPr>
          <w:rFonts w:ascii="Times New Roman" w:hAnsi="Times New Roman" w:cs="Times New Roman"/>
          <w:i/>
          <w:iCs/>
          <w:sz w:val="24"/>
        </w:rPr>
        <w:t>op 10:</w:t>
      </w:r>
      <w:r w:rsidR="00277E6B">
        <w:rPr>
          <w:rFonts w:ascii="Times New Roman" w:hAnsi="Times New Roman" w:cs="Times New Roman"/>
          <w:i/>
          <w:iCs/>
          <w:sz w:val="24"/>
        </w:rPr>
        <w:t xml:space="preserve"> </w:t>
      </w:r>
      <w:r w:rsidRPr="00283DDD">
        <w:rPr>
          <w:rFonts w:ascii="Times New Roman" w:hAnsi="Times New Roman" w:cs="Times New Roman"/>
          <w:i/>
          <w:iCs/>
          <w:sz w:val="24"/>
        </w:rPr>
        <w:t>2025 r</w:t>
      </w:r>
      <w:r w:rsidR="00277E6B">
        <w:rPr>
          <w:rFonts w:ascii="Times New Roman" w:hAnsi="Times New Roman" w:cs="Times New Roman"/>
          <w:i/>
          <w:iCs/>
          <w:sz w:val="24"/>
        </w:rPr>
        <w:t xml:space="preserve">elease </w:t>
      </w:r>
      <w:r w:rsidRPr="00283DDD">
        <w:rPr>
          <w:rFonts w:ascii="Times New Roman" w:hAnsi="Times New Roman" w:cs="Times New Roman"/>
          <w:i/>
          <w:iCs/>
          <w:sz w:val="24"/>
        </w:rPr>
        <w:t>c</w:t>
      </w:r>
      <w:r w:rsidR="00277E6B">
        <w:rPr>
          <w:rFonts w:ascii="Times New Roman" w:hAnsi="Times New Roman" w:cs="Times New Roman"/>
          <w:i/>
          <w:iCs/>
          <w:sz w:val="24"/>
        </w:rPr>
        <w:t xml:space="preserve">andidate </w:t>
      </w:r>
      <w:r w:rsidRPr="00283DDD">
        <w:rPr>
          <w:rFonts w:ascii="Times New Roman" w:hAnsi="Times New Roman" w:cs="Times New Roman"/>
          <w:i/>
          <w:iCs/>
          <w:sz w:val="24"/>
        </w:rPr>
        <w:t>1</w:t>
      </w:r>
      <w:r w:rsidRPr="00283DDD">
        <w:rPr>
          <w:rFonts w:ascii="Times New Roman" w:hAnsi="Times New Roman" w:cs="Times New Roman"/>
          <w:sz w:val="24"/>
        </w:rPr>
        <w:t xml:space="preserve">. Retrieved November 6, 2025, from </w:t>
      </w:r>
      <w:hyperlink r:id="rId15" w:tgtFrame="_blank" w:history="1">
        <w:r w:rsidRPr="00283DDD">
          <w:rPr>
            <w:rStyle w:val="Hyperlink"/>
            <w:rFonts w:ascii="Times New Roman" w:hAnsi="Times New Roman" w:cs="Times New Roman"/>
            <w:sz w:val="24"/>
          </w:rPr>
          <w:t>https://owasp.org/Top10/</w:t>
        </w:r>
      </w:hyperlink>
    </w:p>
    <w:p w14:paraId="254745EE" w14:textId="58F4B90D" w:rsidR="001C4421" w:rsidRDefault="00EC506C" w:rsidP="00C148C0">
      <w:pPr>
        <w:ind w:left="720" w:hanging="720"/>
        <w:rPr>
          <w:rFonts w:ascii="Times New Roman" w:hAnsi="Times New Roman" w:cs="Times New Roman"/>
          <w:sz w:val="24"/>
        </w:rPr>
      </w:pPr>
      <w:r w:rsidRPr="008511D0">
        <w:rPr>
          <w:rFonts w:ascii="Times New Roman" w:hAnsi="Times New Roman" w:cs="Times New Roman"/>
          <w:sz w:val="24"/>
        </w:rPr>
        <w:t>National Institute of Standards and Technology</w:t>
      </w:r>
      <w:r w:rsidR="001C4421" w:rsidRPr="001C4421">
        <w:rPr>
          <w:rFonts w:ascii="Times New Roman" w:hAnsi="Times New Roman" w:cs="Times New Roman"/>
          <w:sz w:val="24"/>
        </w:rPr>
        <w:t xml:space="preserve">. (2024, February). </w:t>
      </w:r>
      <w:r w:rsidR="001C4421" w:rsidRPr="001C4421">
        <w:rPr>
          <w:rFonts w:ascii="Times New Roman" w:hAnsi="Times New Roman" w:cs="Times New Roman"/>
          <w:i/>
          <w:iCs/>
          <w:sz w:val="24"/>
        </w:rPr>
        <w:t>Data confidentiality: Identifying and protecting assets against data breaches</w:t>
      </w:r>
      <w:r w:rsidR="001C4421" w:rsidRPr="001C4421">
        <w:rPr>
          <w:rFonts w:ascii="Times New Roman" w:hAnsi="Times New Roman" w:cs="Times New Roman"/>
          <w:sz w:val="24"/>
        </w:rPr>
        <w:t xml:space="preserve"> </w:t>
      </w:r>
      <w:r w:rsidR="00B23373" w:rsidRPr="00B23373">
        <w:rPr>
          <w:rFonts w:ascii="Times New Roman" w:hAnsi="Times New Roman" w:cs="Times New Roman"/>
          <w:sz w:val="24"/>
        </w:rPr>
        <w:t>(NIST SP 1800-28)</w:t>
      </w:r>
      <w:r w:rsidR="001C4421" w:rsidRPr="001C4421">
        <w:rPr>
          <w:rFonts w:ascii="Times New Roman" w:hAnsi="Times New Roman" w:cs="Times New Roman"/>
          <w:sz w:val="24"/>
        </w:rPr>
        <w:t>.</w:t>
      </w:r>
      <w:r w:rsidR="000C4E2A">
        <w:rPr>
          <w:rFonts w:ascii="Times New Roman" w:hAnsi="Times New Roman" w:cs="Times New Roman"/>
          <w:sz w:val="24"/>
        </w:rPr>
        <w:t xml:space="preserve"> </w:t>
      </w:r>
      <w:hyperlink r:id="rId16" w:tgtFrame="_blank" w:history="1">
        <w:r w:rsidR="001C4421" w:rsidRPr="001C4421">
          <w:rPr>
            <w:rStyle w:val="Hyperlink"/>
            <w:rFonts w:ascii="Times New Roman" w:hAnsi="Times New Roman" w:cs="Times New Roman"/>
            <w:sz w:val="24"/>
          </w:rPr>
          <w:t>https://nvlpubs.nist.gov/nistpubs/SpecialPublications/NIST.SP.1800-28.pdf</w:t>
        </w:r>
      </w:hyperlink>
    </w:p>
    <w:p w14:paraId="28A3C88C" w14:textId="1A955BB0" w:rsidR="00CC1F3A" w:rsidRDefault="00B72D57" w:rsidP="00C148C0">
      <w:pPr>
        <w:ind w:left="720" w:hanging="720"/>
        <w:rPr>
          <w:rFonts w:ascii="Times New Roman" w:hAnsi="Times New Roman" w:cs="Times New Roman"/>
          <w:sz w:val="24"/>
        </w:rPr>
      </w:pPr>
      <w:r w:rsidRPr="00B72D57">
        <w:rPr>
          <w:rFonts w:ascii="Times New Roman" w:hAnsi="Times New Roman" w:cs="Times New Roman"/>
          <w:sz w:val="24"/>
        </w:rPr>
        <w:lastRenderedPageBreak/>
        <w:t xml:space="preserve">Melikov, A., Gasimov, V., &amp; Ahmadov, S. (2024). Data management </w:t>
      </w:r>
      <w:proofErr w:type="gramStart"/>
      <w:r w:rsidRPr="00B72D57">
        <w:rPr>
          <w:rFonts w:ascii="Times New Roman" w:hAnsi="Times New Roman" w:cs="Times New Roman"/>
          <w:sz w:val="24"/>
        </w:rPr>
        <w:t>as</w:t>
      </w:r>
      <w:proofErr w:type="gramEnd"/>
      <w:r w:rsidRPr="00B72D57">
        <w:rPr>
          <w:rFonts w:ascii="Times New Roman" w:hAnsi="Times New Roman" w:cs="Times New Roman"/>
          <w:sz w:val="24"/>
        </w:rPr>
        <w:t xml:space="preserve"> a critical component of protecting corporate devices. </w:t>
      </w:r>
      <w:r w:rsidRPr="00B72D57">
        <w:rPr>
          <w:rFonts w:ascii="Times New Roman" w:hAnsi="Times New Roman" w:cs="Times New Roman"/>
          <w:i/>
          <w:iCs/>
          <w:sz w:val="24"/>
        </w:rPr>
        <w:t>Journal of Applied Data Sciences</w:t>
      </w:r>
      <w:r w:rsidRPr="00B72D57">
        <w:rPr>
          <w:rFonts w:ascii="Times New Roman" w:hAnsi="Times New Roman" w:cs="Times New Roman"/>
          <w:sz w:val="24"/>
        </w:rPr>
        <w:t xml:space="preserve">, </w:t>
      </w:r>
      <w:r w:rsidRPr="00B72D57">
        <w:rPr>
          <w:rFonts w:ascii="Times New Roman" w:hAnsi="Times New Roman" w:cs="Times New Roman"/>
          <w:i/>
          <w:iCs/>
          <w:sz w:val="24"/>
        </w:rPr>
        <w:t>5</w:t>
      </w:r>
      <w:r w:rsidRPr="00B72D57">
        <w:rPr>
          <w:rFonts w:ascii="Times New Roman" w:hAnsi="Times New Roman" w:cs="Times New Roman"/>
          <w:sz w:val="24"/>
        </w:rPr>
        <w:t xml:space="preserve">(3), 1246–1257. </w:t>
      </w:r>
      <w:hyperlink r:id="rId17" w:tgtFrame="_blank" w:history="1">
        <w:r w:rsidRPr="00B72D57">
          <w:rPr>
            <w:rStyle w:val="Hyperlink"/>
            <w:rFonts w:ascii="Times New Roman" w:hAnsi="Times New Roman" w:cs="Times New Roman"/>
            <w:sz w:val="24"/>
          </w:rPr>
          <w:t>https://beu.edu.az/rss-articles/uploads/article_67a1b67d40d9c4.10700203.pdf</w:t>
        </w:r>
      </w:hyperlink>
    </w:p>
    <w:p w14:paraId="4A500C76" w14:textId="502A679C" w:rsidR="00C02BF1" w:rsidRDefault="00F020A8" w:rsidP="00C148C0">
      <w:pPr>
        <w:ind w:left="720" w:hanging="720"/>
        <w:rPr>
          <w:rFonts w:ascii="Times New Roman" w:hAnsi="Times New Roman" w:cs="Times New Roman"/>
          <w:sz w:val="24"/>
        </w:rPr>
      </w:pPr>
      <w:r w:rsidRPr="00F020A8">
        <w:rPr>
          <w:rFonts w:ascii="Times New Roman" w:hAnsi="Times New Roman" w:cs="Times New Roman"/>
          <w:sz w:val="24"/>
        </w:rPr>
        <w:t xml:space="preserve">Bajpai, P., &amp; Enbody, R. (2023). Know thy ransomware response: A detailed framework for devising effective ransomware response strategies. </w:t>
      </w:r>
      <w:r w:rsidRPr="00F020A8">
        <w:rPr>
          <w:rFonts w:ascii="Times New Roman" w:hAnsi="Times New Roman" w:cs="Times New Roman"/>
          <w:i/>
          <w:iCs/>
          <w:sz w:val="24"/>
        </w:rPr>
        <w:t>Digital Threats: Research and Practice</w:t>
      </w:r>
      <w:r w:rsidRPr="00F020A8">
        <w:rPr>
          <w:rFonts w:ascii="Times New Roman" w:hAnsi="Times New Roman" w:cs="Times New Roman"/>
          <w:sz w:val="24"/>
        </w:rPr>
        <w:t xml:space="preserve">, </w:t>
      </w:r>
      <w:r w:rsidRPr="00F020A8">
        <w:rPr>
          <w:rFonts w:ascii="Times New Roman" w:hAnsi="Times New Roman" w:cs="Times New Roman"/>
          <w:i/>
          <w:iCs/>
          <w:sz w:val="24"/>
        </w:rPr>
        <w:t>4</w:t>
      </w:r>
      <w:r w:rsidRPr="00F020A8">
        <w:rPr>
          <w:rFonts w:ascii="Times New Roman" w:hAnsi="Times New Roman" w:cs="Times New Roman"/>
          <w:sz w:val="24"/>
        </w:rPr>
        <w:t xml:space="preserve">(4), 1–19. </w:t>
      </w:r>
      <w:hyperlink r:id="rId18" w:tgtFrame="_blank" w:history="1">
        <w:r w:rsidRPr="00F020A8">
          <w:rPr>
            <w:rStyle w:val="Hyperlink"/>
            <w:rFonts w:ascii="Times New Roman" w:hAnsi="Times New Roman" w:cs="Times New Roman"/>
            <w:sz w:val="24"/>
          </w:rPr>
          <w:t>https://doi.org/10.1145/3606022</w:t>
        </w:r>
      </w:hyperlink>
    </w:p>
    <w:p w14:paraId="305D893D" w14:textId="1A4779E6" w:rsidR="00C213CC" w:rsidRDefault="00C46BBA" w:rsidP="00C148C0">
      <w:pPr>
        <w:ind w:left="720" w:hanging="720"/>
        <w:rPr>
          <w:rFonts w:ascii="Times New Roman" w:hAnsi="Times New Roman" w:cs="Times New Roman"/>
          <w:sz w:val="24"/>
        </w:rPr>
      </w:pPr>
      <w:r w:rsidRPr="008511D0">
        <w:rPr>
          <w:rFonts w:ascii="Times New Roman" w:hAnsi="Times New Roman" w:cs="Times New Roman"/>
          <w:sz w:val="24"/>
        </w:rPr>
        <w:t>National Institute of Standards and Technology</w:t>
      </w:r>
      <w:r w:rsidR="00C213CC" w:rsidRPr="00C213CC">
        <w:rPr>
          <w:rFonts w:ascii="Times New Roman" w:hAnsi="Times New Roman" w:cs="Times New Roman"/>
          <w:sz w:val="24"/>
        </w:rPr>
        <w:t xml:space="preserve">. (2025, April). </w:t>
      </w:r>
      <w:r w:rsidR="00C213CC" w:rsidRPr="00C213CC">
        <w:rPr>
          <w:rFonts w:ascii="Times New Roman" w:hAnsi="Times New Roman" w:cs="Times New Roman"/>
          <w:i/>
          <w:iCs/>
          <w:sz w:val="24"/>
        </w:rPr>
        <w:t xml:space="preserve">Incident response recommendations and considerations for cybersecurity risk management: A </w:t>
      </w:r>
      <w:r w:rsidR="00EB5D61">
        <w:rPr>
          <w:rFonts w:ascii="Times New Roman" w:hAnsi="Times New Roman" w:cs="Times New Roman"/>
          <w:i/>
          <w:iCs/>
          <w:sz w:val="24"/>
        </w:rPr>
        <w:t>CSF</w:t>
      </w:r>
      <w:r w:rsidR="00C213CC" w:rsidRPr="00C213CC">
        <w:rPr>
          <w:rFonts w:ascii="Times New Roman" w:hAnsi="Times New Roman" w:cs="Times New Roman"/>
          <w:i/>
          <w:iCs/>
          <w:sz w:val="24"/>
        </w:rPr>
        <w:t xml:space="preserve"> 2.0 community profile</w:t>
      </w:r>
      <w:r w:rsidR="00C213CC" w:rsidRPr="00C213CC">
        <w:rPr>
          <w:rFonts w:ascii="Times New Roman" w:hAnsi="Times New Roman" w:cs="Times New Roman"/>
          <w:sz w:val="24"/>
        </w:rPr>
        <w:t xml:space="preserve"> </w:t>
      </w:r>
      <w:r w:rsidR="006D2094" w:rsidRPr="006D2094">
        <w:rPr>
          <w:rFonts w:ascii="Times New Roman" w:hAnsi="Times New Roman" w:cs="Times New Roman"/>
          <w:sz w:val="24"/>
        </w:rPr>
        <w:t>(NIST SP 800-61r3)</w:t>
      </w:r>
      <w:r w:rsidR="00C213CC" w:rsidRPr="00C213CC">
        <w:rPr>
          <w:rFonts w:ascii="Times New Roman" w:hAnsi="Times New Roman" w:cs="Times New Roman"/>
          <w:sz w:val="24"/>
        </w:rPr>
        <w:t xml:space="preserve">. </w:t>
      </w:r>
      <w:hyperlink r:id="rId19" w:tgtFrame="_blank" w:history="1">
        <w:r w:rsidR="00C213CC" w:rsidRPr="00C213CC">
          <w:rPr>
            <w:rStyle w:val="Hyperlink"/>
            <w:rFonts w:ascii="Times New Roman" w:hAnsi="Times New Roman" w:cs="Times New Roman"/>
            <w:sz w:val="24"/>
          </w:rPr>
          <w:t>https://nvlpubs.nist.gov/nistpubs/SpecialPublications/NIST.SP.800-61r3.pdf</w:t>
        </w:r>
      </w:hyperlink>
    </w:p>
    <w:p w14:paraId="2ED11E9D" w14:textId="77777777" w:rsidR="004973D3" w:rsidRDefault="004973D3" w:rsidP="00C148C0">
      <w:pPr>
        <w:ind w:left="720" w:hanging="720"/>
        <w:rPr>
          <w:rFonts w:ascii="Times New Roman" w:hAnsi="Times New Roman" w:cs="Times New Roman"/>
          <w:sz w:val="24"/>
        </w:rPr>
      </w:pPr>
    </w:p>
    <w:p w14:paraId="3C93BCE9" w14:textId="77777777" w:rsidR="004440A6" w:rsidRDefault="004440A6" w:rsidP="00C148C0">
      <w:pPr>
        <w:ind w:left="720" w:hanging="720"/>
        <w:rPr>
          <w:rFonts w:ascii="Times New Roman" w:hAnsi="Times New Roman" w:cs="Times New Roman"/>
          <w:sz w:val="24"/>
        </w:rPr>
      </w:pPr>
    </w:p>
    <w:sectPr w:rsidR="004440A6" w:rsidSect="00F4790E">
      <w:headerReference w:type="default" r:id="rId20"/>
      <w:headerReference w:type="first" r:id="rId21"/>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54A3" w14:textId="77777777" w:rsidR="0006032F" w:rsidRDefault="0006032F">
      <w:pPr>
        <w:spacing w:line="240" w:lineRule="auto"/>
      </w:pPr>
      <w:r>
        <w:separator/>
      </w:r>
    </w:p>
    <w:p w14:paraId="0B50F145" w14:textId="77777777" w:rsidR="0006032F" w:rsidRDefault="0006032F"/>
  </w:endnote>
  <w:endnote w:type="continuationSeparator" w:id="0">
    <w:p w14:paraId="53E924F9" w14:textId="77777777" w:rsidR="0006032F" w:rsidRDefault="0006032F">
      <w:pPr>
        <w:spacing w:line="240" w:lineRule="auto"/>
      </w:pPr>
      <w:r>
        <w:continuationSeparator/>
      </w:r>
    </w:p>
    <w:p w14:paraId="323C542D" w14:textId="77777777" w:rsidR="0006032F" w:rsidRDefault="00060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9329" w14:textId="77777777" w:rsidR="0006032F" w:rsidRDefault="0006032F">
      <w:pPr>
        <w:spacing w:line="240" w:lineRule="auto"/>
      </w:pPr>
      <w:r>
        <w:separator/>
      </w:r>
    </w:p>
    <w:p w14:paraId="39595ADF" w14:textId="77777777" w:rsidR="0006032F" w:rsidRDefault="0006032F"/>
  </w:footnote>
  <w:footnote w:type="continuationSeparator" w:id="0">
    <w:p w14:paraId="7DF5B7A1" w14:textId="77777777" w:rsidR="0006032F" w:rsidRDefault="0006032F">
      <w:pPr>
        <w:spacing w:line="240" w:lineRule="auto"/>
      </w:pPr>
      <w:r>
        <w:continuationSeparator/>
      </w:r>
    </w:p>
    <w:p w14:paraId="5692A74E" w14:textId="77777777" w:rsidR="0006032F" w:rsidRDefault="00060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054CF"/>
    <w:rsid w:val="00010DA5"/>
    <w:rsid w:val="00011C67"/>
    <w:rsid w:val="00011F72"/>
    <w:rsid w:val="00017B5E"/>
    <w:rsid w:val="00023AFE"/>
    <w:rsid w:val="000279F6"/>
    <w:rsid w:val="00030734"/>
    <w:rsid w:val="00030924"/>
    <w:rsid w:val="00030BFC"/>
    <w:rsid w:val="00031E0F"/>
    <w:rsid w:val="00033072"/>
    <w:rsid w:val="0003536F"/>
    <w:rsid w:val="0003602E"/>
    <w:rsid w:val="00044F5F"/>
    <w:rsid w:val="00046A5B"/>
    <w:rsid w:val="00047926"/>
    <w:rsid w:val="0005250B"/>
    <w:rsid w:val="00053133"/>
    <w:rsid w:val="0006032F"/>
    <w:rsid w:val="000615E6"/>
    <w:rsid w:val="000647BB"/>
    <w:rsid w:val="000703D7"/>
    <w:rsid w:val="00071F0C"/>
    <w:rsid w:val="000827D2"/>
    <w:rsid w:val="000914C7"/>
    <w:rsid w:val="000A3D9B"/>
    <w:rsid w:val="000A5556"/>
    <w:rsid w:val="000A68C3"/>
    <w:rsid w:val="000C43E6"/>
    <w:rsid w:val="000C4E2A"/>
    <w:rsid w:val="000C71CD"/>
    <w:rsid w:val="000D00B0"/>
    <w:rsid w:val="000D3AB8"/>
    <w:rsid w:val="000D43C9"/>
    <w:rsid w:val="000D4642"/>
    <w:rsid w:val="000D539D"/>
    <w:rsid w:val="000D6CE5"/>
    <w:rsid w:val="000D6D25"/>
    <w:rsid w:val="000F6EE8"/>
    <w:rsid w:val="001004B7"/>
    <w:rsid w:val="00105A67"/>
    <w:rsid w:val="00111231"/>
    <w:rsid w:val="00116273"/>
    <w:rsid w:val="00117C85"/>
    <w:rsid w:val="00120FA4"/>
    <w:rsid w:val="00121084"/>
    <w:rsid w:val="001243A9"/>
    <w:rsid w:val="00124CB1"/>
    <w:rsid w:val="00125ED7"/>
    <w:rsid w:val="00131593"/>
    <w:rsid w:val="00132572"/>
    <w:rsid w:val="001347E4"/>
    <w:rsid w:val="00136DC9"/>
    <w:rsid w:val="00141E6F"/>
    <w:rsid w:val="00161FB7"/>
    <w:rsid w:val="00165A80"/>
    <w:rsid w:val="00176B9C"/>
    <w:rsid w:val="001776FC"/>
    <w:rsid w:val="001815A0"/>
    <w:rsid w:val="001820EF"/>
    <w:rsid w:val="00186130"/>
    <w:rsid w:val="00187210"/>
    <w:rsid w:val="00190C51"/>
    <w:rsid w:val="001A378D"/>
    <w:rsid w:val="001A3F09"/>
    <w:rsid w:val="001A71B3"/>
    <w:rsid w:val="001B3A9D"/>
    <w:rsid w:val="001B5B71"/>
    <w:rsid w:val="001B5E40"/>
    <w:rsid w:val="001B67D4"/>
    <w:rsid w:val="001C347D"/>
    <w:rsid w:val="001C3741"/>
    <w:rsid w:val="001C4421"/>
    <w:rsid w:val="001D4489"/>
    <w:rsid w:val="001D5A40"/>
    <w:rsid w:val="001E2FF9"/>
    <w:rsid w:val="001F01AB"/>
    <w:rsid w:val="001F6E8F"/>
    <w:rsid w:val="00201024"/>
    <w:rsid w:val="00201E6D"/>
    <w:rsid w:val="00205675"/>
    <w:rsid w:val="00205967"/>
    <w:rsid w:val="00205EC1"/>
    <w:rsid w:val="00206C98"/>
    <w:rsid w:val="00210D58"/>
    <w:rsid w:val="00213F09"/>
    <w:rsid w:val="002266C9"/>
    <w:rsid w:val="00233450"/>
    <w:rsid w:val="00235AEE"/>
    <w:rsid w:val="002379A8"/>
    <w:rsid w:val="00241BD8"/>
    <w:rsid w:val="00244191"/>
    <w:rsid w:val="00246091"/>
    <w:rsid w:val="0025057B"/>
    <w:rsid w:val="002505DD"/>
    <w:rsid w:val="002514F4"/>
    <w:rsid w:val="00254A3D"/>
    <w:rsid w:val="00257CBE"/>
    <w:rsid w:val="0027368A"/>
    <w:rsid w:val="00277E6B"/>
    <w:rsid w:val="00280964"/>
    <w:rsid w:val="002822E7"/>
    <w:rsid w:val="00283DDD"/>
    <w:rsid w:val="00286F05"/>
    <w:rsid w:val="0028765C"/>
    <w:rsid w:val="00294CFF"/>
    <w:rsid w:val="002A24F3"/>
    <w:rsid w:val="002A41A4"/>
    <w:rsid w:val="002A754A"/>
    <w:rsid w:val="002B0D5B"/>
    <w:rsid w:val="002B580F"/>
    <w:rsid w:val="002C0F59"/>
    <w:rsid w:val="002C17B5"/>
    <w:rsid w:val="002C3433"/>
    <w:rsid w:val="002C50F7"/>
    <w:rsid w:val="002C697B"/>
    <w:rsid w:val="002C6CA6"/>
    <w:rsid w:val="002C79E6"/>
    <w:rsid w:val="002C7DAF"/>
    <w:rsid w:val="002D18BE"/>
    <w:rsid w:val="002D1D16"/>
    <w:rsid w:val="002E23C2"/>
    <w:rsid w:val="002E3EC2"/>
    <w:rsid w:val="002F065E"/>
    <w:rsid w:val="002F3AE9"/>
    <w:rsid w:val="002F5A35"/>
    <w:rsid w:val="0030062E"/>
    <w:rsid w:val="003046E5"/>
    <w:rsid w:val="003126BC"/>
    <w:rsid w:val="00323F98"/>
    <w:rsid w:val="003242D4"/>
    <w:rsid w:val="00325EBB"/>
    <w:rsid w:val="00326056"/>
    <w:rsid w:val="00331CBA"/>
    <w:rsid w:val="0034212F"/>
    <w:rsid w:val="003462E2"/>
    <w:rsid w:val="00350935"/>
    <w:rsid w:val="003537E7"/>
    <w:rsid w:val="0036023D"/>
    <w:rsid w:val="00363640"/>
    <w:rsid w:val="00364DF3"/>
    <w:rsid w:val="00364ED4"/>
    <w:rsid w:val="003725D8"/>
    <w:rsid w:val="00373BD8"/>
    <w:rsid w:val="003804CC"/>
    <w:rsid w:val="00380AC6"/>
    <w:rsid w:val="00384ED0"/>
    <w:rsid w:val="0039688B"/>
    <w:rsid w:val="003A40F9"/>
    <w:rsid w:val="003A7792"/>
    <w:rsid w:val="003B15C3"/>
    <w:rsid w:val="003B489C"/>
    <w:rsid w:val="003C3810"/>
    <w:rsid w:val="003C51D8"/>
    <w:rsid w:val="003D043B"/>
    <w:rsid w:val="003D4271"/>
    <w:rsid w:val="003E5E06"/>
    <w:rsid w:val="003F14D5"/>
    <w:rsid w:val="003F35C8"/>
    <w:rsid w:val="003F4BB9"/>
    <w:rsid w:val="003F72E6"/>
    <w:rsid w:val="004021E2"/>
    <w:rsid w:val="0040377D"/>
    <w:rsid w:val="00403D06"/>
    <w:rsid w:val="004174EF"/>
    <w:rsid w:val="00420F0D"/>
    <w:rsid w:val="00420F38"/>
    <w:rsid w:val="004356EA"/>
    <w:rsid w:val="00441A7D"/>
    <w:rsid w:val="0044367F"/>
    <w:rsid w:val="004440A6"/>
    <w:rsid w:val="00457277"/>
    <w:rsid w:val="00462652"/>
    <w:rsid w:val="00462D4D"/>
    <w:rsid w:val="004635F6"/>
    <w:rsid w:val="00467414"/>
    <w:rsid w:val="00474E91"/>
    <w:rsid w:val="00487A3C"/>
    <w:rsid w:val="0049185A"/>
    <w:rsid w:val="00496657"/>
    <w:rsid w:val="004973D3"/>
    <w:rsid w:val="00497987"/>
    <w:rsid w:val="004A2A47"/>
    <w:rsid w:val="004B02FD"/>
    <w:rsid w:val="004B52D4"/>
    <w:rsid w:val="004C6053"/>
    <w:rsid w:val="004C68F7"/>
    <w:rsid w:val="004D1056"/>
    <w:rsid w:val="004D14BA"/>
    <w:rsid w:val="004E3E88"/>
    <w:rsid w:val="004E4E02"/>
    <w:rsid w:val="004F541E"/>
    <w:rsid w:val="004F7268"/>
    <w:rsid w:val="00500425"/>
    <w:rsid w:val="00501307"/>
    <w:rsid w:val="005058C2"/>
    <w:rsid w:val="005215D7"/>
    <w:rsid w:val="005251AB"/>
    <w:rsid w:val="0052711A"/>
    <w:rsid w:val="00531B13"/>
    <w:rsid w:val="00532D95"/>
    <w:rsid w:val="00540F46"/>
    <w:rsid w:val="0054494A"/>
    <w:rsid w:val="005458DE"/>
    <w:rsid w:val="00551E2B"/>
    <w:rsid w:val="0055494D"/>
    <w:rsid w:val="00562505"/>
    <w:rsid w:val="00562A90"/>
    <w:rsid w:val="00564A24"/>
    <w:rsid w:val="00564B6D"/>
    <w:rsid w:val="005651AE"/>
    <w:rsid w:val="00565CB7"/>
    <w:rsid w:val="005666D3"/>
    <w:rsid w:val="00576712"/>
    <w:rsid w:val="00580E81"/>
    <w:rsid w:val="0059007A"/>
    <w:rsid w:val="00593648"/>
    <w:rsid w:val="005A0493"/>
    <w:rsid w:val="005A4514"/>
    <w:rsid w:val="005B2D90"/>
    <w:rsid w:val="005C199E"/>
    <w:rsid w:val="005C3A39"/>
    <w:rsid w:val="005D3991"/>
    <w:rsid w:val="005D4A95"/>
    <w:rsid w:val="005D4D54"/>
    <w:rsid w:val="005D70B5"/>
    <w:rsid w:val="005E1AF8"/>
    <w:rsid w:val="005E38F9"/>
    <w:rsid w:val="005E51FB"/>
    <w:rsid w:val="005E7ADB"/>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43E"/>
    <w:rsid w:val="00664C1A"/>
    <w:rsid w:val="0068047E"/>
    <w:rsid w:val="00687F12"/>
    <w:rsid w:val="00694E98"/>
    <w:rsid w:val="006A1B2D"/>
    <w:rsid w:val="006A55A2"/>
    <w:rsid w:val="006A7A91"/>
    <w:rsid w:val="006B108A"/>
    <w:rsid w:val="006B2AA7"/>
    <w:rsid w:val="006C2303"/>
    <w:rsid w:val="006C4166"/>
    <w:rsid w:val="006D2094"/>
    <w:rsid w:val="006E039C"/>
    <w:rsid w:val="006E20FF"/>
    <w:rsid w:val="006E351C"/>
    <w:rsid w:val="006E42D3"/>
    <w:rsid w:val="006E67BC"/>
    <w:rsid w:val="006F2256"/>
    <w:rsid w:val="006F4D32"/>
    <w:rsid w:val="006F4F08"/>
    <w:rsid w:val="007022BE"/>
    <w:rsid w:val="00707883"/>
    <w:rsid w:val="0071587F"/>
    <w:rsid w:val="00727936"/>
    <w:rsid w:val="00727E4F"/>
    <w:rsid w:val="007361FC"/>
    <w:rsid w:val="0073675F"/>
    <w:rsid w:val="00747163"/>
    <w:rsid w:val="007476CF"/>
    <w:rsid w:val="00747C29"/>
    <w:rsid w:val="007519FE"/>
    <w:rsid w:val="00755002"/>
    <w:rsid w:val="007550FC"/>
    <w:rsid w:val="007577D5"/>
    <w:rsid w:val="00760964"/>
    <w:rsid w:val="007656FA"/>
    <w:rsid w:val="00775937"/>
    <w:rsid w:val="0077742D"/>
    <w:rsid w:val="00777EA1"/>
    <w:rsid w:val="00793A86"/>
    <w:rsid w:val="00797255"/>
    <w:rsid w:val="007A125D"/>
    <w:rsid w:val="007A359B"/>
    <w:rsid w:val="007B1BE5"/>
    <w:rsid w:val="007B1C26"/>
    <w:rsid w:val="007B3A02"/>
    <w:rsid w:val="007C4402"/>
    <w:rsid w:val="007D1F80"/>
    <w:rsid w:val="007D35C6"/>
    <w:rsid w:val="007D3966"/>
    <w:rsid w:val="007D4ECE"/>
    <w:rsid w:val="007E23F4"/>
    <w:rsid w:val="007E4FF0"/>
    <w:rsid w:val="007F0CA2"/>
    <w:rsid w:val="007F62FC"/>
    <w:rsid w:val="00800D46"/>
    <w:rsid w:val="008026D4"/>
    <w:rsid w:val="008064CA"/>
    <w:rsid w:val="008064E9"/>
    <w:rsid w:val="008129DB"/>
    <w:rsid w:val="008150C7"/>
    <w:rsid w:val="00817675"/>
    <w:rsid w:val="008243B2"/>
    <w:rsid w:val="00832B2B"/>
    <w:rsid w:val="00837AF3"/>
    <w:rsid w:val="00841718"/>
    <w:rsid w:val="008419BC"/>
    <w:rsid w:val="008511D0"/>
    <w:rsid w:val="008515CF"/>
    <w:rsid w:val="0085197D"/>
    <w:rsid w:val="00852A9D"/>
    <w:rsid w:val="008548A1"/>
    <w:rsid w:val="00863F19"/>
    <w:rsid w:val="00864182"/>
    <w:rsid w:val="0086523B"/>
    <w:rsid w:val="008658DD"/>
    <w:rsid w:val="0087407D"/>
    <w:rsid w:val="0087425A"/>
    <w:rsid w:val="00885E70"/>
    <w:rsid w:val="00886622"/>
    <w:rsid w:val="00887AE7"/>
    <w:rsid w:val="008946F1"/>
    <w:rsid w:val="00895DB5"/>
    <w:rsid w:val="00896D85"/>
    <w:rsid w:val="0089743D"/>
    <w:rsid w:val="008A12E1"/>
    <w:rsid w:val="008A1A29"/>
    <w:rsid w:val="008A30B7"/>
    <w:rsid w:val="008A3A7A"/>
    <w:rsid w:val="008A77DD"/>
    <w:rsid w:val="008A7E4A"/>
    <w:rsid w:val="008B0D15"/>
    <w:rsid w:val="008C1F83"/>
    <w:rsid w:val="008C5418"/>
    <w:rsid w:val="008C5E81"/>
    <w:rsid w:val="008C7300"/>
    <w:rsid w:val="008D456A"/>
    <w:rsid w:val="008D56B1"/>
    <w:rsid w:val="008D7DA5"/>
    <w:rsid w:val="008E3AC2"/>
    <w:rsid w:val="008E5358"/>
    <w:rsid w:val="008F2962"/>
    <w:rsid w:val="008F2FA3"/>
    <w:rsid w:val="008F79E4"/>
    <w:rsid w:val="0090173E"/>
    <w:rsid w:val="00910F0A"/>
    <w:rsid w:val="00930AD3"/>
    <w:rsid w:val="009319BA"/>
    <w:rsid w:val="00940977"/>
    <w:rsid w:val="00954DCE"/>
    <w:rsid w:val="00961ABD"/>
    <w:rsid w:val="00991B32"/>
    <w:rsid w:val="00991C34"/>
    <w:rsid w:val="00995F5A"/>
    <w:rsid w:val="0099682C"/>
    <w:rsid w:val="0099721E"/>
    <w:rsid w:val="009A0F5E"/>
    <w:rsid w:val="009A257E"/>
    <w:rsid w:val="009B5A36"/>
    <w:rsid w:val="009C3960"/>
    <w:rsid w:val="009C3BE2"/>
    <w:rsid w:val="009C4993"/>
    <w:rsid w:val="009D1351"/>
    <w:rsid w:val="009D2E3B"/>
    <w:rsid w:val="009D33BB"/>
    <w:rsid w:val="009D38EB"/>
    <w:rsid w:val="009E6063"/>
    <w:rsid w:val="009F11DF"/>
    <w:rsid w:val="009F3B97"/>
    <w:rsid w:val="00A045CE"/>
    <w:rsid w:val="00A05F50"/>
    <w:rsid w:val="00A06D13"/>
    <w:rsid w:val="00A07416"/>
    <w:rsid w:val="00A25BB3"/>
    <w:rsid w:val="00A2626A"/>
    <w:rsid w:val="00A31AD8"/>
    <w:rsid w:val="00A375EB"/>
    <w:rsid w:val="00A417C1"/>
    <w:rsid w:val="00A43BE1"/>
    <w:rsid w:val="00A50146"/>
    <w:rsid w:val="00A5044C"/>
    <w:rsid w:val="00A505B3"/>
    <w:rsid w:val="00A518F9"/>
    <w:rsid w:val="00A52B72"/>
    <w:rsid w:val="00A536C4"/>
    <w:rsid w:val="00A57AB8"/>
    <w:rsid w:val="00A60762"/>
    <w:rsid w:val="00A6349D"/>
    <w:rsid w:val="00A652DC"/>
    <w:rsid w:val="00A6539E"/>
    <w:rsid w:val="00A66DBF"/>
    <w:rsid w:val="00A673F2"/>
    <w:rsid w:val="00A67A6F"/>
    <w:rsid w:val="00A92F5D"/>
    <w:rsid w:val="00A93B41"/>
    <w:rsid w:val="00A96922"/>
    <w:rsid w:val="00AA3E06"/>
    <w:rsid w:val="00AB113A"/>
    <w:rsid w:val="00AB6E8E"/>
    <w:rsid w:val="00AC4D10"/>
    <w:rsid w:val="00AD2069"/>
    <w:rsid w:val="00AD2C9F"/>
    <w:rsid w:val="00AD45AC"/>
    <w:rsid w:val="00AE215B"/>
    <w:rsid w:val="00AE520A"/>
    <w:rsid w:val="00AE6FF4"/>
    <w:rsid w:val="00AF407A"/>
    <w:rsid w:val="00AF5DF4"/>
    <w:rsid w:val="00AF7BBF"/>
    <w:rsid w:val="00B015DC"/>
    <w:rsid w:val="00B03C72"/>
    <w:rsid w:val="00B07053"/>
    <w:rsid w:val="00B138CC"/>
    <w:rsid w:val="00B163E6"/>
    <w:rsid w:val="00B232C4"/>
    <w:rsid w:val="00B23373"/>
    <w:rsid w:val="00B24451"/>
    <w:rsid w:val="00B24BA9"/>
    <w:rsid w:val="00B25138"/>
    <w:rsid w:val="00B34462"/>
    <w:rsid w:val="00B3456E"/>
    <w:rsid w:val="00B36558"/>
    <w:rsid w:val="00B407FA"/>
    <w:rsid w:val="00B50E75"/>
    <w:rsid w:val="00B674FD"/>
    <w:rsid w:val="00B72D57"/>
    <w:rsid w:val="00B82B54"/>
    <w:rsid w:val="00B863FB"/>
    <w:rsid w:val="00B86440"/>
    <w:rsid w:val="00B92C17"/>
    <w:rsid w:val="00B9395B"/>
    <w:rsid w:val="00B945D1"/>
    <w:rsid w:val="00BA16A2"/>
    <w:rsid w:val="00BA2331"/>
    <w:rsid w:val="00BB2D6F"/>
    <w:rsid w:val="00BB350D"/>
    <w:rsid w:val="00BB5CBA"/>
    <w:rsid w:val="00BB6E51"/>
    <w:rsid w:val="00BC003A"/>
    <w:rsid w:val="00BC12FF"/>
    <w:rsid w:val="00BC65BA"/>
    <w:rsid w:val="00BC75E5"/>
    <w:rsid w:val="00BD519F"/>
    <w:rsid w:val="00BE12AC"/>
    <w:rsid w:val="00BE1816"/>
    <w:rsid w:val="00BE19F4"/>
    <w:rsid w:val="00BE2B0D"/>
    <w:rsid w:val="00BE4D36"/>
    <w:rsid w:val="00BE639C"/>
    <w:rsid w:val="00BF08E0"/>
    <w:rsid w:val="00BF25DA"/>
    <w:rsid w:val="00BF66AD"/>
    <w:rsid w:val="00C006E9"/>
    <w:rsid w:val="00C00F8F"/>
    <w:rsid w:val="00C02BF1"/>
    <w:rsid w:val="00C03068"/>
    <w:rsid w:val="00C07114"/>
    <w:rsid w:val="00C10D95"/>
    <w:rsid w:val="00C148C0"/>
    <w:rsid w:val="00C14B83"/>
    <w:rsid w:val="00C154FC"/>
    <w:rsid w:val="00C213CC"/>
    <w:rsid w:val="00C30531"/>
    <w:rsid w:val="00C320F5"/>
    <w:rsid w:val="00C37BCC"/>
    <w:rsid w:val="00C4113A"/>
    <w:rsid w:val="00C41EBB"/>
    <w:rsid w:val="00C44E8B"/>
    <w:rsid w:val="00C45B09"/>
    <w:rsid w:val="00C46BBA"/>
    <w:rsid w:val="00C47BAA"/>
    <w:rsid w:val="00C500E6"/>
    <w:rsid w:val="00C51588"/>
    <w:rsid w:val="00C5449B"/>
    <w:rsid w:val="00C57D5E"/>
    <w:rsid w:val="00C6500E"/>
    <w:rsid w:val="00C65D80"/>
    <w:rsid w:val="00C76E78"/>
    <w:rsid w:val="00C85B3D"/>
    <w:rsid w:val="00C86DE0"/>
    <w:rsid w:val="00C91476"/>
    <w:rsid w:val="00C95418"/>
    <w:rsid w:val="00CA04BB"/>
    <w:rsid w:val="00CA5104"/>
    <w:rsid w:val="00CA6686"/>
    <w:rsid w:val="00CA7593"/>
    <w:rsid w:val="00CB08A5"/>
    <w:rsid w:val="00CB2CFF"/>
    <w:rsid w:val="00CB6ADB"/>
    <w:rsid w:val="00CC0097"/>
    <w:rsid w:val="00CC1F3A"/>
    <w:rsid w:val="00CC4806"/>
    <w:rsid w:val="00CD2F80"/>
    <w:rsid w:val="00CD4277"/>
    <w:rsid w:val="00CD6931"/>
    <w:rsid w:val="00CD72C3"/>
    <w:rsid w:val="00CE03F0"/>
    <w:rsid w:val="00CE1019"/>
    <w:rsid w:val="00CE5041"/>
    <w:rsid w:val="00CE5CCE"/>
    <w:rsid w:val="00CE7B15"/>
    <w:rsid w:val="00CF2047"/>
    <w:rsid w:val="00CF7CD2"/>
    <w:rsid w:val="00D01005"/>
    <w:rsid w:val="00D04B1B"/>
    <w:rsid w:val="00D04CE8"/>
    <w:rsid w:val="00D13ACE"/>
    <w:rsid w:val="00D14032"/>
    <w:rsid w:val="00D14958"/>
    <w:rsid w:val="00D170F9"/>
    <w:rsid w:val="00D17862"/>
    <w:rsid w:val="00D23D0E"/>
    <w:rsid w:val="00D257F1"/>
    <w:rsid w:val="00D32BC6"/>
    <w:rsid w:val="00D363D5"/>
    <w:rsid w:val="00D37A9D"/>
    <w:rsid w:val="00D42585"/>
    <w:rsid w:val="00D470DD"/>
    <w:rsid w:val="00D47652"/>
    <w:rsid w:val="00D47E99"/>
    <w:rsid w:val="00D50D2A"/>
    <w:rsid w:val="00D620FD"/>
    <w:rsid w:val="00D677FF"/>
    <w:rsid w:val="00D70583"/>
    <w:rsid w:val="00D72694"/>
    <w:rsid w:val="00D7452E"/>
    <w:rsid w:val="00D85A9B"/>
    <w:rsid w:val="00D85B4C"/>
    <w:rsid w:val="00D91044"/>
    <w:rsid w:val="00D93331"/>
    <w:rsid w:val="00D93391"/>
    <w:rsid w:val="00D93FED"/>
    <w:rsid w:val="00DA41D6"/>
    <w:rsid w:val="00DA4543"/>
    <w:rsid w:val="00DB231C"/>
    <w:rsid w:val="00DC0D22"/>
    <w:rsid w:val="00DC3940"/>
    <w:rsid w:val="00DC3B05"/>
    <w:rsid w:val="00DC6309"/>
    <w:rsid w:val="00DC7A81"/>
    <w:rsid w:val="00DD2227"/>
    <w:rsid w:val="00DD69A9"/>
    <w:rsid w:val="00DE4218"/>
    <w:rsid w:val="00DE43D7"/>
    <w:rsid w:val="00DF06C9"/>
    <w:rsid w:val="00DF0855"/>
    <w:rsid w:val="00DF60D0"/>
    <w:rsid w:val="00E169DD"/>
    <w:rsid w:val="00E320E7"/>
    <w:rsid w:val="00E35A5D"/>
    <w:rsid w:val="00E401F2"/>
    <w:rsid w:val="00E5145E"/>
    <w:rsid w:val="00E52222"/>
    <w:rsid w:val="00E60664"/>
    <w:rsid w:val="00E62FA4"/>
    <w:rsid w:val="00E64EAE"/>
    <w:rsid w:val="00E67454"/>
    <w:rsid w:val="00E72245"/>
    <w:rsid w:val="00E84455"/>
    <w:rsid w:val="00E90162"/>
    <w:rsid w:val="00EA42F9"/>
    <w:rsid w:val="00EA510E"/>
    <w:rsid w:val="00EB5D61"/>
    <w:rsid w:val="00EC189A"/>
    <w:rsid w:val="00EC506C"/>
    <w:rsid w:val="00EC733C"/>
    <w:rsid w:val="00ED1D6D"/>
    <w:rsid w:val="00ED2863"/>
    <w:rsid w:val="00ED2F1D"/>
    <w:rsid w:val="00ED4BCD"/>
    <w:rsid w:val="00EE2770"/>
    <w:rsid w:val="00EE3717"/>
    <w:rsid w:val="00EF1FCD"/>
    <w:rsid w:val="00EF55C5"/>
    <w:rsid w:val="00F0036A"/>
    <w:rsid w:val="00F020A8"/>
    <w:rsid w:val="00F1187B"/>
    <w:rsid w:val="00F13A50"/>
    <w:rsid w:val="00F14E34"/>
    <w:rsid w:val="00F15959"/>
    <w:rsid w:val="00F2136A"/>
    <w:rsid w:val="00F22A78"/>
    <w:rsid w:val="00F3038B"/>
    <w:rsid w:val="00F32081"/>
    <w:rsid w:val="00F36C21"/>
    <w:rsid w:val="00F40CB2"/>
    <w:rsid w:val="00F45BCF"/>
    <w:rsid w:val="00F4790E"/>
    <w:rsid w:val="00F5132B"/>
    <w:rsid w:val="00F51EB6"/>
    <w:rsid w:val="00F52907"/>
    <w:rsid w:val="00F52EC7"/>
    <w:rsid w:val="00F560E6"/>
    <w:rsid w:val="00F575A9"/>
    <w:rsid w:val="00F6242A"/>
    <w:rsid w:val="00F74D60"/>
    <w:rsid w:val="00F84619"/>
    <w:rsid w:val="00F85CBF"/>
    <w:rsid w:val="00F92519"/>
    <w:rsid w:val="00FA087C"/>
    <w:rsid w:val="00FA515D"/>
    <w:rsid w:val="00FB18B4"/>
    <w:rsid w:val="00FB5EE5"/>
    <w:rsid w:val="00FC1164"/>
    <w:rsid w:val="00FC1B8C"/>
    <w:rsid w:val="00FC6A35"/>
    <w:rsid w:val="00FC79CC"/>
    <w:rsid w:val="00FD0666"/>
    <w:rsid w:val="00FD15E2"/>
    <w:rsid w:val="00FD2DA3"/>
    <w:rsid w:val="00FD3F49"/>
    <w:rsid w:val="00FD552F"/>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saca.org/resources/news-and-trends/industry-news/2024/can-hardening-reduce-cyberrisk" TargetMode="External"/><Relationship Id="rId18" Type="http://schemas.openxmlformats.org/officeDocument/2006/relationships/hyperlink" Target="https://doi.org/10.1145/3606022"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doi.org/10.4236/jcc.2023.115009" TargetMode="External"/><Relationship Id="rId17" Type="http://schemas.openxmlformats.org/officeDocument/2006/relationships/hyperlink" Target="https://beu.edu.az/rss-articles/uploads/article_67a1b67d40d9c4.10700203.pdf" TargetMode="External"/><Relationship Id="rId2" Type="http://schemas.openxmlformats.org/officeDocument/2006/relationships/customXml" Target="../customXml/item2.xml"/><Relationship Id="rId16" Type="http://schemas.openxmlformats.org/officeDocument/2006/relationships/hyperlink" Target="https://nvlpubs.nist.gov/nistpubs/SpecialPublications/NIST.SP.1800-28.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vlpubs.nist.gov/nistpubs/SpecialPublications/NIST.SP.800-207.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owasp.org/Top10/" TargetMode="External"/><Relationship Id="rId23" Type="http://schemas.openxmlformats.org/officeDocument/2006/relationships/glossaryDocument" Target="glossary/document.xml"/><Relationship Id="rId10" Type="http://schemas.openxmlformats.org/officeDocument/2006/relationships/hyperlink" Target="https://doi.org/10.3390/electronics11193000" TargetMode="External"/><Relationship Id="rId19" Type="http://schemas.openxmlformats.org/officeDocument/2006/relationships/hyperlink" Target="https://nvlpubs.nist.gov/nistpubs/SpecialPublications/NIST.SP.800-61r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16/j.infsof.2021.10670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035576"/>
    <w:rsid w:val="00053133"/>
    <w:rsid w:val="000E1504"/>
    <w:rsid w:val="001347E4"/>
    <w:rsid w:val="002822E7"/>
    <w:rsid w:val="002C7DAF"/>
    <w:rsid w:val="002F0FC5"/>
    <w:rsid w:val="0034212F"/>
    <w:rsid w:val="00373BD8"/>
    <w:rsid w:val="00387CE1"/>
    <w:rsid w:val="003B5A2A"/>
    <w:rsid w:val="003D4271"/>
    <w:rsid w:val="0040377D"/>
    <w:rsid w:val="0050303C"/>
    <w:rsid w:val="00524333"/>
    <w:rsid w:val="005458DE"/>
    <w:rsid w:val="00565CB7"/>
    <w:rsid w:val="005E38F9"/>
    <w:rsid w:val="00603FE4"/>
    <w:rsid w:val="006A2777"/>
    <w:rsid w:val="007763D9"/>
    <w:rsid w:val="00832C5E"/>
    <w:rsid w:val="0088552D"/>
    <w:rsid w:val="008A30B7"/>
    <w:rsid w:val="008C5E81"/>
    <w:rsid w:val="008D799B"/>
    <w:rsid w:val="00930470"/>
    <w:rsid w:val="00954DCE"/>
    <w:rsid w:val="009B1EC2"/>
    <w:rsid w:val="00A06D13"/>
    <w:rsid w:val="00A51A05"/>
    <w:rsid w:val="00B633EE"/>
    <w:rsid w:val="00B7235E"/>
    <w:rsid w:val="00B80D6C"/>
    <w:rsid w:val="00B829D4"/>
    <w:rsid w:val="00B9658D"/>
    <w:rsid w:val="00C320F5"/>
    <w:rsid w:val="00D42585"/>
    <w:rsid w:val="00DE4218"/>
    <w:rsid w:val="00E21512"/>
    <w:rsid w:val="00E75930"/>
    <w:rsid w:val="00EC733C"/>
    <w:rsid w:val="00F15959"/>
    <w:rsid w:val="00F575A9"/>
    <w:rsid w:val="00F7162D"/>
    <w:rsid w:val="00FD3884"/>
    <w:rsid w:val="00FD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226</TotalTime>
  <Pages>10</Pages>
  <Words>1871</Words>
  <Characters>13084</Characters>
  <Application>Microsoft Office Word</Application>
  <DocSecurity>0</DocSecurity>
  <Lines>204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74</cp:revision>
  <dcterms:created xsi:type="dcterms:W3CDTF">2025-11-13T15:53:00Z</dcterms:created>
  <dcterms:modified xsi:type="dcterms:W3CDTF">2025-11-20T17:59:00Z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36870c1e-b95c-413d-8c14-a1e2ded9df45</vt:lpwstr>
  </property>
</Properties>
</file>