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B678" w14:textId="73F06D7A" w:rsidR="00FE392B" w:rsidRPr="009D2467" w:rsidRDefault="009D2467" w:rsidP="00FE392B">
      <w:pPr>
        <w:jc w:val="center"/>
        <w:rPr>
          <w:b/>
          <w:bCs/>
        </w:rPr>
      </w:pPr>
      <w:r w:rsidRPr="009D2467">
        <w:rPr>
          <w:b/>
          <w:bCs/>
        </w:rPr>
        <w:t>Summary: IC CAE Speaker Series - Security Clearances - Zoom Session</w:t>
      </w:r>
    </w:p>
    <w:p w14:paraId="0C073B21" w14:textId="763B415F" w:rsidR="009D2467" w:rsidRDefault="009D2467" w:rsidP="009D2467">
      <w:r>
        <w:t xml:space="preserve">Gary Sparks, Program Director of the Metropolitan Community College Cybersecurity Center and retired Chief Master Sergeant of the U.S. Air Force and Air National Guard, presented an overview of the federal security clearance process. Mr. Sparks focused on the Single Scope Background Investigation (SSBI). He provided insight into the legal authority, procedural requirements, and ethical expectations that form the basis for the clearance system used </w:t>
      </w:r>
      <w:r w:rsidR="001E52B0">
        <w:t>by</w:t>
      </w:r>
      <w:r>
        <w:t xml:space="preserve"> U.S. federal agencies and the U.S. defense sector.</w:t>
      </w:r>
    </w:p>
    <w:p w14:paraId="5F3BA8A1" w14:textId="77417302" w:rsidR="009D2467" w:rsidRDefault="009D2467" w:rsidP="009D2467">
      <w:r>
        <w:t>Mr. Sparks explained that the security clearance process is critical for determining an individual's reliability, trustworthiness, good conduct, and loyalty to the United States. These personal characteristics are demanded for access to national defense and classified information. The SSBI is performed for positions requiring Top Secret or Sensitive Compartmented Information access. The SSBI includes comprehensive reviews of financial, criminal, and personal backgrounds covering a span of approximately five to seven years.</w:t>
      </w:r>
    </w:p>
    <w:p w14:paraId="20829FA9" w14:textId="77777777" w:rsidR="009D2467" w:rsidRDefault="009D2467" w:rsidP="009D2467">
      <w:r>
        <w:t>The authority to conduct an SSBI comes from Executive Order 10450 and Department of Defense Instruction (DoDI) 5210.45. These sources establish the legal and procedural basis for clearance adjudication. Mr. Sparks stated that executive orders originate from presidential authority, are implemented through the Office of Management and Budget, and are codified by departmental regulations within the Department of Defense, Department of Energy, and other federal entities.</w:t>
      </w:r>
    </w:p>
    <w:p w14:paraId="35978D61" w14:textId="77777777" w:rsidR="009D2467" w:rsidRDefault="009D2467" w:rsidP="009D2467">
      <w:r>
        <w:t xml:space="preserve">The SSBI process begins with the completion of Standard Form 86, Questionnaire for National Security Positions, which requires a detailed disclosure of residences, employment, education, family members, and social media accounts. Once submitted, fingerprints are processed through the FBI and national databases. A federal investigator is then assigned to conduct interviews with the subject. The investigator also interviews supervisors, colleagues, and personal references. An extensive record and financial check </w:t>
      </w:r>
      <w:proofErr w:type="gramStart"/>
      <w:r>
        <w:t>is</w:t>
      </w:r>
      <w:proofErr w:type="gramEnd"/>
      <w:r>
        <w:t xml:space="preserve"> also performed. The resulting investigative report serves as the basis for determining an applicant's eligibility for clearance.</w:t>
      </w:r>
    </w:p>
    <w:p w14:paraId="2F8094CB" w14:textId="77777777" w:rsidR="009D2467" w:rsidRDefault="009D2467" w:rsidP="009D2467">
      <w:r>
        <w:t>Mr. Sparks emphasized that integrity and transparency are critical throughout the investigation. Dishonesty, falsification, or academic misconduct can result in the denial or revocation of a clearance due to the perceived lack of integrity. Additional disqualifying factors include serious criminal conduct, substance abuse, unmanageable financial debt, or undue foreign influence. An applicant's financial instability may raise concerns if it indicates potential vulnerability to coercion. Clearance holders must also have a periodic reinvestigation every five years to confirm continued compliance and suitability.</w:t>
      </w:r>
    </w:p>
    <w:p w14:paraId="1136E01B" w14:textId="77777777" w:rsidR="00C06186" w:rsidRDefault="009D2467" w:rsidP="009D2467">
      <w:r>
        <w:lastRenderedPageBreak/>
        <w:t>The presentation concluded with a reminder that ethical conduct and personal accountability are critical to maintaining the trust necessary to safeguard national security information. The clearance process ultimately seeks to protect the individual's credibility, the integrity of the federal security system, and the interests of the United States Government.</w:t>
      </w:r>
    </w:p>
    <w:p w14:paraId="2C9BD79B" w14:textId="53306D91" w:rsidR="005573DB" w:rsidRPr="00A3000C" w:rsidRDefault="005573DB" w:rsidP="005573DB">
      <w:pPr>
        <w:jc w:val="center"/>
        <w:rPr>
          <w:b/>
          <w:bCs/>
          <w:u w:val="single"/>
        </w:rPr>
      </w:pPr>
      <w:r w:rsidRPr="00A3000C">
        <w:rPr>
          <w:b/>
          <w:bCs/>
          <w:u w:val="single"/>
        </w:rPr>
        <w:t xml:space="preserve">Screenshots from </w:t>
      </w:r>
      <w:r w:rsidR="005F24B8">
        <w:rPr>
          <w:b/>
          <w:bCs/>
          <w:u w:val="single"/>
        </w:rPr>
        <w:t>the Zoom session</w:t>
      </w:r>
    </w:p>
    <w:p w14:paraId="0325A8A0" w14:textId="253F8750" w:rsidR="00D95D01" w:rsidRDefault="006839B1" w:rsidP="003965F3">
      <w:pPr>
        <w:jc w:val="center"/>
      </w:pPr>
      <w:r>
        <w:rPr>
          <w:noProof/>
        </w:rPr>
        <w:drawing>
          <wp:inline distT="0" distB="0" distL="0" distR="0" wp14:anchorId="5D0E2D7C" wp14:editId="4A36D204">
            <wp:extent cx="3593592" cy="2002536"/>
            <wp:effectExtent l="57150" t="0" r="64135" b="112395"/>
            <wp:docPr id="4322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9996" name="Picture 432299996"/>
                    <pic:cNvPicPr/>
                  </pic:nvPicPr>
                  <pic:blipFill>
                    <a:blip r:embed="rId4" cstate="print">
                      <a:alphaModFix/>
                      <a:extLst>
                        <a:ext uri="{28A0092B-C50C-407E-A947-70E740481C1C}">
                          <a14:useLocalDpi xmlns:a14="http://schemas.microsoft.com/office/drawing/2010/main" val="0"/>
                        </a:ext>
                      </a:extLst>
                    </a:blip>
                    <a:stretch>
                      <a:fillRect/>
                    </a:stretch>
                  </pic:blipFill>
                  <pic:spPr>
                    <a:xfrm>
                      <a:off x="0" y="0"/>
                      <a:ext cx="3593592" cy="2002536"/>
                    </a:xfrm>
                    <a:prstGeom prst="rect">
                      <a:avLst/>
                    </a:prstGeom>
                    <a:solidFill>
                      <a:sysClr val="windowText" lastClr="000000"/>
                    </a:solidFill>
                    <a:ln>
                      <a:noFill/>
                    </a:ln>
                    <a:effectLst>
                      <a:outerShdw blurRad="50800" dist="50800" dir="5400000" algn="ctr" rotWithShape="0">
                        <a:srgbClr val="000000">
                          <a:alpha val="99000"/>
                        </a:srgbClr>
                      </a:outerShdw>
                      <a:softEdge rad="0"/>
                    </a:effectLst>
                  </pic:spPr>
                </pic:pic>
              </a:graphicData>
            </a:graphic>
          </wp:inline>
        </w:drawing>
      </w:r>
      <w:r>
        <w:rPr>
          <w:noProof/>
        </w:rPr>
        <w:drawing>
          <wp:inline distT="0" distB="0" distL="0" distR="0" wp14:anchorId="73D5D634" wp14:editId="20F49F53">
            <wp:extent cx="3712464" cy="2368296"/>
            <wp:effectExtent l="57150" t="0" r="59690" b="108585"/>
            <wp:docPr id="172516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6688" name="Picture 1725166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12464" cy="2368296"/>
                    </a:xfrm>
                    <a:prstGeom prst="rect">
                      <a:avLst/>
                    </a:prstGeom>
                    <a:effectLst>
                      <a:outerShdw blurRad="50800" dist="50800" dir="5400000" algn="ctr" rotWithShape="0">
                        <a:srgbClr val="000000">
                          <a:alpha val="99000"/>
                        </a:srgbClr>
                      </a:outerShdw>
                    </a:effectLst>
                  </pic:spPr>
                </pic:pic>
              </a:graphicData>
            </a:graphic>
          </wp:inline>
        </w:drawing>
      </w:r>
      <w:r>
        <w:rPr>
          <w:noProof/>
        </w:rPr>
        <w:drawing>
          <wp:inline distT="0" distB="0" distL="0" distR="0" wp14:anchorId="1E6AC0F6" wp14:editId="4ACC8A90">
            <wp:extent cx="3877056" cy="1527048"/>
            <wp:effectExtent l="57150" t="0" r="47625" b="111760"/>
            <wp:docPr id="849545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45504" name="Picture 8495455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77056" cy="1527048"/>
                    </a:xfrm>
                    <a:prstGeom prst="rect">
                      <a:avLst/>
                    </a:prstGeom>
                    <a:effectLst>
                      <a:outerShdw blurRad="50800" dist="50800" dir="5400000" algn="ctr" rotWithShape="0">
                        <a:srgbClr val="000000">
                          <a:alpha val="99000"/>
                        </a:srgbClr>
                      </a:outerShdw>
                    </a:effectLst>
                  </pic:spPr>
                </pic:pic>
              </a:graphicData>
            </a:graphic>
          </wp:inline>
        </w:drawing>
      </w:r>
    </w:p>
    <w:sectPr w:rsidR="00D9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67"/>
    <w:rsid w:val="001E52B0"/>
    <w:rsid w:val="00212474"/>
    <w:rsid w:val="00282758"/>
    <w:rsid w:val="002F208C"/>
    <w:rsid w:val="003965F3"/>
    <w:rsid w:val="005573DB"/>
    <w:rsid w:val="005F24B8"/>
    <w:rsid w:val="006839B1"/>
    <w:rsid w:val="009D2467"/>
    <w:rsid w:val="00A13067"/>
    <w:rsid w:val="00A3000C"/>
    <w:rsid w:val="00B05CD4"/>
    <w:rsid w:val="00C06186"/>
    <w:rsid w:val="00CA5E42"/>
    <w:rsid w:val="00D95D01"/>
    <w:rsid w:val="00DF4753"/>
    <w:rsid w:val="00F1625A"/>
    <w:rsid w:val="00FE3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F1C749"/>
  <w15:chartTrackingRefBased/>
  <w15:docId w15:val="{245C1C90-BD40-40D3-B304-FE5B2C52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467"/>
    <w:rPr>
      <w:rFonts w:eastAsiaTheme="majorEastAsia" w:cstheme="majorBidi"/>
      <w:color w:val="272727" w:themeColor="text1" w:themeTint="D8"/>
    </w:rPr>
  </w:style>
  <w:style w:type="paragraph" w:styleId="Title">
    <w:name w:val="Title"/>
    <w:basedOn w:val="Normal"/>
    <w:next w:val="Normal"/>
    <w:link w:val="TitleChar"/>
    <w:uiPriority w:val="10"/>
    <w:qFormat/>
    <w:rsid w:val="009D2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467"/>
    <w:pPr>
      <w:spacing w:before="160"/>
      <w:jc w:val="center"/>
    </w:pPr>
    <w:rPr>
      <w:i/>
      <w:iCs/>
      <w:color w:val="404040" w:themeColor="text1" w:themeTint="BF"/>
    </w:rPr>
  </w:style>
  <w:style w:type="character" w:customStyle="1" w:styleId="QuoteChar">
    <w:name w:val="Quote Char"/>
    <w:basedOn w:val="DefaultParagraphFont"/>
    <w:link w:val="Quote"/>
    <w:uiPriority w:val="29"/>
    <w:rsid w:val="009D2467"/>
    <w:rPr>
      <w:i/>
      <w:iCs/>
      <w:color w:val="404040" w:themeColor="text1" w:themeTint="BF"/>
    </w:rPr>
  </w:style>
  <w:style w:type="paragraph" w:styleId="ListParagraph">
    <w:name w:val="List Paragraph"/>
    <w:basedOn w:val="Normal"/>
    <w:uiPriority w:val="34"/>
    <w:qFormat/>
    <w:rsid w:val="009D2467"/>
    <w:pPr>
      <w:ind w:left="720"/>
      <w:contextualSpacing/>
    </w:pPr>
  </w:style>
  <w:style w:type="character" w:styleId="IntenseEmphasis">
    <w:name w:val="Intense Emphasis"/>
    <w:basedOn w:val="DefaultParagraphFont"/>
    <w:uiPriority w:val="21"/>
    <w:qFormat/>
    <w:rsid w:val="009D2467"/>
    <w:rPr>
      <w:i/>
      <w:iCs/>
      <w:color w:val="0F4761" w:themeColor="accent1" w:themeShade="BF"/>
    </w:rPr>
  </w:style>
  <w:style w:type="paragraph" w:styleId="IntenseQuote">
    <w:name w:val="Intense Quote"/>
    <w:basedOn w:val="Normal"/>
    <w:next w:val="Normal"/>
    <w:link w:val="IntenseQuoteChar"/>
    <w:uiPriority w:val="30"/>
    <w:qFormat/>
    <w:rsid w:val="009D2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467"/>
    <w:rPr>
      <w:i/>
      <w:iCs/>
      <w:color w:val="0F4761" w:themeColor="accent1" w:themeShade="BF"/>
    </w:rPr>
  </w:style>
  <w:style w:type="character" w:styleId="IntenseReference">
    <w:name w:val="Intense Reference"/>
    <w:basedOn w:val="DefaultParagraphFont"/>
    <w:uiPriority w:val="32"/>
    <w:qFormat/>
    <w:rsid w:val="009D2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444</Words>
  <Characters>2795</Characters>
  <Application>Microsoft Office Word</Application>
  <DocSecurity>0</DocSecurity>
  <Lines>44</Lines>
  <Paragraphs>9</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Adams</dc:creator>
  <cp:keywords/>
  <dc:description/>
  <cp:lastModifiedBy>Bradley Adams</cp:lastModifiedBy>
  <cp:revision>14</cp:revision>
  <dcterms:created xsi:type="dcterms:W3CDTF">2025-10-14T14:47:00Z</dcterms:created>
  <dcterms:modified xsi:type="dcterms:W3CDTF">2025-10-14T15:46:00Z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191426d4-abf9-4bc6-a9a2-e4a7191f38f0</vt:lpwstr>
  </property>
</Properties>
</file>