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FBE8" w14:textId="77777777" w:rsidR="0057641E" w:rsidRDefault="0057641E" w:rsidP="0057641E">
      <w:pPr>
        <w:rPr>
          <w:rFonts w:ascii="Times New Roman" w:hAnsi="Times New Roman" w:cs="Times New Roman"/>
          <w:sz w:val="24"/>
        </w:rPr>
      </w:pPr>
    </w:p>
    <w:p w14:paraId="4190F7E8" w14:textId="77777777" w:rsidR="0057641E" w:rsidRPr="000827D2" w:rsidRDefault="0057641E" w:rsidP="0057641E">
      <w:pPr>
        <w:rPr>
          <w:rFonts w:ascii="Times New Roman" w:hAnsi="Times New Roman" w:cs="Times New Roman"/>
          <w:sz w:val="24"/>
        </w:rPr>
      </w:pPr>
    </w:p>
    <w:p w14:paraId="7183463C" w14:textId="77777777" w:rsidR="0057641E" w:rsidRPr="000827D2" w:rsidRDefault="0057641E" w:rsidP="0057641E">
      <w:pPr>
        <w:rPr>
          <w:rFonts w:ascii="Times New Roman" w:hAnsi="Times New Roman" w:cs="Times New Roman"/>
          <w:sz w:val="24"/>
        </w:rPr>
      </w:pPr>
    </w:p>
    <w:p w14:paraId="542A6C86" w14:textId="77777777" w:rsidR="0057641E" w:rsidRPr="000827D2" w:rsidRDefault="0057641E" w:rsidP="0057641E">
      <w:pPr>
        <w:rPr>
          <w:rFonts w:ascii="Times New Roman" w:hAnsi="Times New Roman" w:cs="Times New Roman"/>
          <w:sz w:val="24"/>
        </w:rPr>
      </w:pPr>
    </w:p>
    <w:p w14:paraId="7A922CEA" w14:textId="77777777" w:rsidR="0057641E" w:rsidRPr="000827D2" w:rsidRDefault="0057641E" w:rsidP="0057641E">
      <w:pPr>
        <w:rPr>
          <w:rFonts w:ascii="Times New Roman" w:hAnsi="Times New Roman" w:cs="Times New Roman"/>
          <w:sz w:val="24"/>
        </w:rPr>
      </w:pPr>
    </w:p>
    <w:p w14:paraId="54D1FDD9" w14:textId="77777777" w:rsidR="0057641E" w:rsidRPr="00630C37" w:rsidRDefault="0057641E" w:rsidP="0057641E">
      <w:pPr>
        <w:rPr>
          <w:rFonts w:ascii="Times New Roman" w:hAnsi="Times New Roman" w:cs="Times New Roman"/>
          <w:sz w:val="24"/>
        </w:rPr>
      </w:pPr>
    </w:p>
    <w:p w14:paraId="17045CF4" w14:textId="05DF4FA0" w:rsidR="0057641E" w:rsidRPr="00747163" w:rsidRDefault="00F971DD" w:rsidP="0057641E">
      <w:pPr>
        <w:pStyle w:val="Subtitle"/>
      </w:pPr>
      <w:r w:rsidRPr="00F971DD">
        <w:rPr>
          <w:rFonts w:ascii="Times New Roman" w:eastAsiaTheme="majorEastAsia" w:hAnsi="Times New Roman" w:cs="Times New Roman"/>
          <w:b/>
          <w:sz w:val="24"/>
          <w:szCs w:val="24"/>
        </w:rPr>
        <w:t>The Rootkit Within: Authority, Access, and Betrayal</w:t>
      </w:r>
    </w:p>
    <w:p w14:paraId="1D6EBE6E" w14:textId="77777777" w:rsidR="0057641E" w:rsidRPr="00747163" w:rsidRDefault="0057641E" w:rsidP="0057641E"/>
    <w:p w14:paraId="3C8C47DF" w14:textId="77777777" w:rsidR="0057641E" w:rsidRPr="00630C37" w:rsidRDefault="0057641E" w:rsidP="0057641E">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6CADFB8B" w14:textId="77777777" w:rsidR="0057641E" w:rsidRPr="00630C37" w:rsidRDefault="0057641E" w:rsidP="0057641E">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 Athens State University</w:t>
      </w:r>
    </w:p>
    <w:p w14:paraId="6997F2EA" w14:textId="77777777" w:rsidR="0057641E" w:rsidRPr="00630C37" w:rsidRDefault="0057641E" w:rsidP="0057641E">
      <w:pPr>
        <w:pStyle w:val="Subtitle"/>
        <w:rPr>
          <w:rFonts w:ascii="Times New Roman" w:hAnsi="Times New Roman" w:cs="Times New Roman"/>
          <w:sz w:val="24"/>
          <w:szCs w:val="24"/>
        </w:rPr>
      </w:pPr>
      <w:r w:rsidRPr="00630C37">
        <w:rPr>
          <w:rFonts w:ascii="Times New Roman" w:hAnsi="Times New Roman" w:cs="Times New Roman"/>
          <w:sz w:val="24"/>
          <w:szCs w:val="24"/>
        </w:rPr>
        <w:t>MCO 5</w:t>
      </w:r>
      <w:r>
        <w:rPr>
          <w:rFonts w:ascii="Times New Roman" w:hAnsi="Times New Roman" w:cs="Times New Roman"/>
          <w:sz w:val="24"/>
          <w:szCs w:val="24"/>
        </w:rPr>
        <w:t>25</w:t>
      </w:r>
      <w:r w:rsidRPr="00630C37">
        <w:rPr>
          <w:rFonts w:ascii="Times New Roman" w:hAnsi="Times New Roman" w:cs="Times New Roman"/>
          <w:sz w:val="24"/>
          <w:szCs w:val="24"/>
        </w:rPr>
        <w:t xml:space="preserve">: </w:t>
      </w:r>
      <w:r>
        <w:rPr>
          <w:rFonts w:ascii="Times New Roman" w:hAnsi="Times New Roman" w:cs="Times New Roman"/>
          <w:sz w:val="24"/>
          <w:szCs w:val="24"/>
        </w:rPr>
        <w:t>Cybersecurity Leadership and Strategic Management</w:t>
      </w:r>
    </w:p>
    <w:p w14:paraId="054ED8BF" w14:textId="77777777" w:rsidR="0057641E" w:rsidRPr="00630C37" w:rsidRDefault="0057641E" w:rsidP="0057641E">
      <w:pPr>
        <w:pStyle w:val="Subtitle"/>
        <w:rPr>
          <w:rFonts w:ascii="Times New Roman" w:hAnsi="Times New Roman" w:cs="Times New Roman"/>
          <w:sz w:val="24"/>
          <w:szCs w:val="24"/>
        </w:rPr>
      </w:pPr>
      <w:r w:rsidRPr="00630C37">
        <w:rPr>
          <w:rFonts w:ascii="Times New Roman" w:hAnsi="Times New Roman" w:cs="Times New Roman"/>
          <w:sz w:val="24"/>
          <w:szCs w:val="24"/>
        </w:rPr>
        <w:t>Dr. Darren Waldrep</w:t>
      </w:r>
    </w:p>
    <w:p w14:paraId="3CDDD3C8" w14:textId="648D128E" w:rsidR="0057641E" w:rsidRPr="00630C37" w:rsidRDefault="00BB0E59" w:rsidP="0057641E">
      <w:pPr>
        <w:pStyle w:val="Subtitle"/>
        <w:rPr>
          <w:rFonts w:ascii="Times New Roman" w:hAnsi="Times New Roman" w:cs="Times New Roman"/>
          <w:sz w:val="24"/>
          <w:szCs w:val="24"/>
        </w:rPr>
      </w:pPr>
      <w:r>
        <w:rPr>
          <w:rFonts w:ascii="Times New Roman" w:hAnsi="Times New Roman" w:cs="Times New Roman"/>
          <w:sz w:val="24"/>
          <w:szCs w:val="24"/>
        </w:rPr>
        <w:t>November</w:t>
      </w:r>
      <w:r w:rsidR="0057641E">
        <w:rPr>
          <w:rFonts w:ascii="Times New Roman" w:hAnsi="Times New Roman" w:cs="Times New Roman"/>
          <w:sz w:val="24"/>
          <w:szCs w:val="24"/>
        </w:rPr>
        <w:t xml:space="preserve"> </w:t>
      </w:r>
      <w:r>
        <w:rPr>
          <w:rFonts w:ascii="Times New Roman" w:hAnsi="Times New Roman" w:cs="Times New Roman"/>
          <w:sz w:val="24"/>
          <w:szCs w:val="24"/>
        </w:rPr>
        <w:t>3</w:t>
      </w:r>
      <w:r w:rsidR="0057641E" w:rsidRPr="00630C37">
        <w:rPr>
          <w:rFonts w:ascii="Times New Roman" w:hAnsi="Times New Roman" w:cs="Times New Roman"/>
          <w:sz w:val="24"/>
          <w:szCs w:val="24"/>
        </w:rPr>
        <w:t>, 202</w:t>
      </w:r>
      <w:r w:rsidR="0057641E">
        <w:rPr>
          <w:rFonts w:ascii="Times New Roman" w:hAnsi="Times New Roman" w:cs="Times New Roman"/>
          <w:sz w:val="24"/>
          <w:szCs w:val="24"/>
        </w:rPr>
        <w:t>5</w:t>
      </w:r>
    </w:p>
    <w:p w14:paraId="25126292" w14:textId="77777777" w:rsidR="0057641E" w:rsidRPr="00630C37" w:rsidRDefault="0057641E" w:rsidP="0057641E">
      <w:pPr>
        <w:pStyle w:val="Title2"/>
        <w:rPr>
          <w:rFonts w:ascii="Times New Roman" w:eastAsia="Calibri" w:hAnsi="Times New Roman" w:cs="Times New Roman"/>
          <w:sz w:val="24"/>
        </w:rPr>
      </w:pPr>
    </w:p>
    <w:p w14:paraId="4D5C3662" w14:textId="77777777" w:rsidR="0057641E" w:rsidRPr="00630C37" w:rsidRDefault="0057641E" w:rsidP="0057641E">
      <w:pPr>
        <w:pStyle w:val="Title2"/>
        <w:rPr>
          <w:rFonts w:ascii="Times New Roman" w:eastAsia="Calibri" w:hAnsi="Times New Roman" w:cs="Times New Roman"/>
          <w:sz w:val="24"/>
        </w:rPr>
      </w:pPr>
    </w:p>
    <w:p w14:paraId="659F220B" w14:textId="77777777" w:rsidR="0057641E" w:rsidRPr="00630C37" w:rsidRDefault="0057641E" w:rsidP="0057641E">
      <w:pPr>
        <w:pStyle w:val="Title2"/>
        <w:rPr>
          <w:rFonts w:ascii="Times New Roman" w:eastAsia="Calibri" w:hAnsi="Times New Roman" w:cs="Times New Roman"/>
          <w:sz w:val="24"/>
        </w:rPr>
      </w:pPr>
    </w:p>
    <w:p w14:paraId="24E9F509" w14:textId="77777777" w:rsidR="0057641E" w:rsidRPr="00630C37" w:rsidRDefault="0057641E" w:rsidP="0057641E">
      <w:pPr>
        <w:pStyle w:val="Title2"/>
        <w:rPr>
          <w:rFonts w:ascii="Times New Roman" w:eastAsia="Calibri" w:hAnsi="Times New Roman" w:cs="Times New Roman"/>
          <w:sz w:val="24"/>
        </w:rPr>
      </w:pPr>
    </w:p>
    <w:p w14:paraId="3E6A2978" w14:textId="77777777" w:rsidR="0057641E" w:rsidRPr="00630C37" w:rsidRDefault="0057641E" w:rsidP="0057641E">
      <w:pPr>
        <w:pStyle w:val="Title2"/>
        <w:rPr>
          <w:rFonts w:ascii="Times New Roman" w:eastAsia="Calibri" w:hAnsi="Times New Roman" w:cs="Times New Roman"/>
          <w:sz w:val="24"/>
        </w:rPr>
      </w:pPr>
    </w:p>
    <w:p w14:paraId="09C5BA36" w14:textId="77777777" w:rsidR="0057641E" w:rsidRPr="00630C37" w:rsidRDefault="0057641E" w:rsidP="0057641E">
      <w:pPr>
        <w:pStyle w:val="Title2"/>
        <w:rPr>
          <w:rFonts w:ascii="Times New Roman" w:eastAsia="Calibri" w:hAnsi="Times New Roman" w:cs="Times New Roman"/>
          <w:sz w:val="24"/>
        </w:rPr>
      </w:pPr>
    </w:p>
    <w:p w14:paraId="01856663" w14:textId="77777777" w:rsidR="0057641E" w:rsidRPr="00630C37" w:rsidRDefault="0057641E" w:rsidP="0057641E">
      <w:pPr>
        <w:pStyle w:val="Title2"/>
        <w:rPr>
          <w:rFonts w:ascii="Times New Roman" w:eastAsia="Calibri" w:hAnsi="Times New Roman" w:cs="Times New Roman"/>
          <w:sz w:val="24"/>
        </w:rPr>
      </w:pPr>
    </w:p>
    <w:p w14:paraId="5401CAB7" w14:textId="77777777" w:rsidR="0057641E" w:rsidRDefault="0057641E" w:rsidP="0057641E">
      <w:pPr>
        <w:ind w:firstLine="0"/>
        <w:rPr>
          <w:rFonts w:ascii="Times New Roman" w:eastAsia="Calibri" w:hAnsi="Times New Roman" w:cs="Times New Roman"/>
          <w:sz w:val="24"/>
        </w:rPr>
      </w:pPr>
    </w:p>
    <w:p w14:paraId="6F607234" w14:textId="77777777" w:rsidR="0057641E" w:rsidRDefault="0057641E" w:rsidP="0057641E">
      <w:pPr>
        <w:ind w:firstLine="0"/>
        <w:rPr>
          <w:rFonts w:ascii="Times New Roman" w:eastAsia="Calibri" w:hAnsi="Times New Roman" w:cs="Times New Roman"/>
          <w:sz w:val="24"/>
        </w:rPr>
      </w:pPr>
    </w:p>
    <w:p w14:paraId="383CDE29" w14:textId="77777777" w:rsidR="0057641E" w:rsidRDefault="0057641E" w:rsidP="0057641E">
      <w:pPr>
        <w:ind w:firstLine="0"/>
        <w:rPr>
          <w:rFonts w:ascii="Times New Roman" w:eastAsia="Calibri" w:hAnsi="Times New Roman" w:cs="Times New Roman"/>
          <w:sz w:val="24"/>
        </w:rPr>
      </w:pPr>
    </w:p>
    <w:p w14:paraId="7E0E9F79" w14:textId="77777777" w:rsidR="0057641E" w:rsidRDefault="0057641E" w:rsidP="0057641E">
      <w:pPr>
        <w:ind w:firstLine="0"/>
        <w:rPr>
          <w:rFonts w:ascii="Times New Roman" w:eastAsia="Calibri" w:hAnsi="Times New Roman" w:cs="Times New Roman"/>
          <w:sz w:val="24"/>
        </w:rPr>
      </w:pPr>
    </w:p>
    <w:p w14:paraId="2585BF90" w14:textId="77777777" w:rsidR="00473BBC" w:rsidRPr="00656C39" w:rsidRDefault="00473BBC" w:rsidP="00656C39">
      <w:pPr>
        <w:jc w:val="center"/>
        <w:rPr>
          <w:rFonts w:ascii="Times New Roman" w:hAnsi="Times New Roman" w:cs="Times New Roman"/>
          <w:b/>
          <w:bCs/>
          <w:sz w:val="24"/>
        </w:rPr>
      </w:pPr>
      <w:r w:rsidRPr="00656C39">
        <w:rPr>
          <w:rFonts w:ascii="Times New Roman" w:hAnsi="Times New Roman" w:cs="Times New Roman"/>
          <w:b/>
          <w:bCs/>
          <w:sz w:val="24"/>
        </w:rPr>
        <w:lastRenderedPageBreak/>
        <w:t>Introduction</w:t>
      </w:r>
    </w:p>
    <w:p w14:paraId="1712B9ED"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Occupational fraud, as described by the Association of Certified Fraud Examiners, is the use of a person's occupation for personal gain through deliberate misuse or misapplication of an organization's resources and/or assets (ACFE, 2024). Chapter 1 of Corporate Computer Security explains that insider threats are among the most damaging and dangerous forms of organizational compromise because they exploit legitimate access and trust (Boyle &amp; Panko, 2020). Understanding this risk is fundamental for cybersecurity professionals.</w:t>
      </w:r>
    </w:p>
    <w:p w14:paraId="44737EEE" w14:textId="77777777" w:rsidR="00473BBC" w:rsidRPr="00656C39" w:rsidRDefault="00473BBC" w:rsidP="00656C39">
      <w:pPr>
        <w:jc w:val="center"/>
        <w:rPr>
          <w:rFonts w:ascii="Times New Roman" w:hAnsi="Times New Roman" w:cs="Times New Roman"/>
          <w:b/>
          <w:bCs/>
          <w:sz w:val="24"/>
        </w:rPr>
      </w:pPr>
      <w:r w:rsidRPr="00656C39">
        <w:rPr>
          <w:rFonts w:ascii="Times New Roman" w:hAnsi="Times New Roman" w:cs="Times New Roman"/>
          <w:b/>
          <w:bCs/>
          <w:sz w:val="24"/>
        </w:rPr>
        <w:t>Why does a perpetrator's level of authority in the organization or time working for the organization affect the average amount of money stolen?</w:t>
      </w:r>
    </w:p>
    <w:p w14:paraId="1DD95564"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An employee's level of authority and tenure within an organization directly influence both the opportunity and the scale of occupational fraud. The ACFE's Occupational fraud 2024: A report to the nations discovered that losses rise dramatically with the perpetrator's level of responsibility. Owners and executives caused median losses of $337,000, nearly five times greater than those caused by employees at $60,000 and more than double those caused by managers at $125,000 (ACFE, 2024). The problem arises primarily from the concentration of power in access and oversight. Owners' and executives' influence additionally amplifies this result. Executives and senior managers often control multiple systems and approve transactions. They can also influence internal controls. These areas of responsibility allow them to override security mechanisms or conceal misconduct. Boyle and Panko (2020) note that the principle of least privilege exists specifically to mitigate these risks. Senior leaders often operate outside these rules.</w:t>
      </w:r>
    </w:p>
    <w:p w14:paraId="35ADAA81"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 xml:space="preserve">Tenure similarly affects the extent of fraud, as long-term employees accumulate institutional knowledge and credibility, enabling them to manipulate processes without </w:t>
      </w:r>
      <w:r w:rsidRPr="00473BBC">
        <w:rPr>
          <w:rFonts w:ascii="Times New Roman" w:hAnsi="Times New Roman" w:cs="Times New Roman"/>
          <w:sz w:val="24"/>
        </w:rPr>
        <w:lastRenderedPageBreak/>
        <w:t>prompting suspicion. According to the ACFE (2024), perpetrators with over ten years of tenure stole a median of $250,000, compared to $75,000 for those with less than one year. Long-term employees are also more trusted, granting them both psychological and procedural freedom to sidestep internal controls. Carney (2021) claims that the most damaging frauds are often "slow burns," developing over years as trusted employees exploit gaps in segregation of duties and audit cycles. The organizational culture itself can worsen this problem when high-performing or long-serving employees are perceived as "above scrutiny." This combination of authority, access, trust, and freedom creates an environment in which internal controls are least adequate against those best positioned to exploit them.</w:t>
      </w:r>
    </w:p>
    <w:p w14:paraId="6272F426"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From a cybersecurity perspective, these findings underscore the importance of integrated threat intelligence, continuous monitoring, behavioral analytics, and risk-based access reviews. Cybersecurity frameworks such as the NIST guidelines emphasize the need for identity governance and periodic access recertification to counteract the accumulation of privilege, or privilege creep. Organizations can reduce both the opportunity and duration of insider fraud by enforcing technical controls that detect privilege misuse.</w:t>
      </w:r>
    </w:p>
    <w:p w14:paraId="6F0D351C" w14:textId="77777777" w:rsidR="00473BBC" w:rsidRPr="00473BBC" w:rsidRDefault="00473BBC" w:rsidP="00656C39">
      <w:pPr>
        <w:jc w:val="center"/>
        <w:rPr>
          <w:rFonts w:ascii="Times New Roman" w:hAnsi="Times New Roman" w:cs="Times New Roman"/>
          <w:b/>
          <w:bCs/>
          <w:sz w:val="24"/>
        </w:rPr>
      </w:pPr>
      <w:r w:rsidRPr="00473BBC">
        <w:rPr>
          <w:rFonts w:ascii="Times New Roman" w:hAnsi="Times New Roman" w:cs="Times New Roman"/>
          <w:b/>
          <w:bCs/>
          <w:sz w:val="24"/>
        </w:rPr>
        <w:t>Why are workers in accounting, operations, sales, executive/upper management, customer service, and purchasing functions most likely to commit fraud?</w:t>
      </w:r>
    </w:p>
    <w:p w14:paraId="68BB752C"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 xml:space="preserve">Fraud seems to cluster within specific job functions, particularly those with overlapping financial and transactional authority. The ACFE (2024) reports that most occupational fraud cases originate in accounting, operations, sales, executive/upper management, customer service, and purchasing. These functions collectively handle money flow, financial reporting, and/or procurement processes that naturally present opportunities for manipulation. An example of this type of fraud would be if accounting personnel falsified expense reports or created fictitious </w:t>
      </w:r>
      <w:r w:rsidRPr="00473BBC">
        <w:rPr>
          <w:rFonts w:ascii="Times New Roman" w:hAnsi="Times New Roman" w:cs="Times New Roman"/>
          <w:sz w:val="24"/>
        </w:rPr>
        <w:lastRenderedPageBreak/>
        <w:t>vendors, while purchasing staff might authorize payments to fake companies they control or even personally own. Other examples include operations employees misappropriating inventory and sales personnel manipulating commissions.</w:t>
      </w:r>
    </w:p>
    <w:p w14:paraId="7A8AF884" w14:textId="5FD0D2AC"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Organizational fraud in these departments can occur through the fraud triangle</w:t>
      </w:r>
      <w:r w:rsidR="00BC7321">
        <w:rPr>
          <w:rFonts w:ascii="Times New Roman" w:hAnsi="Times New Roman" w:cs="Times New Roman"/>
          <w:sz w:val="24"/>
        </w:rPr>
        <w:t xml:space="preserve">. The fraud triangle </w:t>
      </w:r>
      <w:r w:rsidR="00FE3944">
        <w:rPr>
          <w:rFonts w:ascii="Times New Roman" w:hAnsi="Times New Roman" w:cs="Times New Roman"/>
          <w:sz w:val="24"/>
        </w:rPr>
        <w:t>consists of</w:t>
      </w:r>
      <w:r w:rsidRPr="00473BBC">
        <w:rPr>
          <w:rFonts w:ascii="Times New Roman" w:hAnsi="Times New Roman" w:cs="Times New Roman"/>
          <w:sz w:val="24"/>
        </w:rPr>
        <w:t xml:space="preserve"> pressure, opportunity, and rationalization. Boyle and Panko (2020) explains how insider threats align with this framework in the following ways: opportunities arising from access to sensitive systems, pressure from financial or personal stressors, and rationalization stemming from perceived organizational unfairness. Carney (2021) reinforces this point by noting that the accounting and purchasing roles combine access and incentives. This combination creates the perfect environment for concealment through documentation control such as when executives and upper management engage in financial statement fraud and/or override approval processes. They often rationalize this misconduct as "creative accounting" or "temporary borrowing." Veno (2024) states that inadequate internal controls, especially in small and mid-sized organizations, intensify these risks. A single individual may perform multiple financial roles without sufficient segregation of duties or independent review. Cybersecurity systems can reduce exposure by enforcing multi-level authorization and digital audit trails. Technical measures must be reinforced by strong governance, policies, compliance frameworks, and periodic audits to prevent insider misuse (Boyle &amp; Panko, 2020). The intersection of financial access and operational control within these key departments makes them endless hotspots for occupational fraud.</w:t>
      </w:r>
    </w:p>
    <w:p w14:paraId="406CD07F"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What are some "red flags" that a person might be involved in fraudulent activities?</w:t>
      </w:r>
    </w:p>
    <w:p w14:paraId="29876B62"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 xml:space="preserve">While internal controls are vital, human behavior often provides the earliest signs of fraud. The ACFE (2024, July) identifies six behavioral red flags that appear in the majority of </w:t>
      </w:r>
      <w:r w:rsidRPr="00473BBC">
        <w:rPr>
          <w:rFonts w:ascii="Times New Roman" w:hAnsi="Times New Roman" w:cs="Times New Roman"/>
          <w:sz w:val="24"/>
        </w:rPr>
        <w:lastRenderedPageBreak/>
        <w:t>occupational fraud cases: living beyond one's means, experiencing financial difficulties, maintaining unusually close relationships with vendors or customers, showing control issues or unwillingness to share duties, showing irritability or defensiveness, and showing suspicious family or peer behavior. These patterns frequently precede the discovery of fraudulent acts. The ACFE's Occupational fraud 2024: A report to the nations states that 85% of perpetrators displayed at least one red flag before being caught.</w:t>
      </w:r>
    </w:p>
    <w:p w14:paraId="4B2F60DF" w14:textId="77777777"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Trustpair (2024) extends this understanding by identifying additional indicators, such as frequent overrides of established controls and resistance to audits. Another primary indicator is an unexplained change in lifestyle or spending. Behavioral signs are often not observed when organizations focus solely on technical controls. Veno (2024) emphasizes that fraud detection programs must incorporate behavioral risk awareness. Awareness must include training managers and staff to recognize and report abnormalities without fear of retaliation. Fraudsters commonly exploit weak organizational cultures where employees are hesitant to question irregularities.</w:t>
      </w:r>
    </w:p>
    <w:p w14:paraId="73A435C8" w14:textId="2C423F0A" w:rsidR="00473BBC" w:rsidRPr="00473BBC" w:rsidRDefault="00473BBC" w:rsidP="00473BBC">
      <w:pPr>
        <w:rPr>
          <w:rFonts w:ascii="Times New Roman" w:hAnsi="Times New Roman" w:cs="Times New Roman"/>
          <w:sz w:val="24"/>
        </w:rPr>
      </w:pPr>
      <w:r w:rsidRPr="00473BBC">
        <w:rPr>
          <w:rFonts w:ascii="Times New Roman" w:hAnsi="Times New Roman" w:cs="Times New Roman"/>
          <w:sz w:val="24"/>
        </w:rPr>
        <w:t>Cybersecurity is not purely technological. It also has a social component, relying on human attention as much as on system defenses. Carney (2021) advises integrating "fraud hotlines" and anonymous reporting systems into corporate compliance frameworks to encourage early detection. The ACFE (2024) similarly reports that organizations with whistleblower means detected fraud 50% faster and suffered 40% lower losses than those without them. Behavioral monitoring tools</w:t>
      </w:r>
      <w:r w:rsidR="0033467F">
        <w:rPr>
          <w:rFonts w:ascii="Times New Roman" w:hAnsi="Times New Roman" w:cs="Times New Roman"/>
          <w:sz w:val="24"/>
        </w:rPr>
        <w:t xml:space="preserve"> </w:t>
      </w:r>
      <w:r w:rsidRPr="00473BBC">
        <w:rPr>
          <w:rFonts w:ascii="Times New Roman" w:hAnsi="Times New Roman" w:cs="Times New Roman"/>
          <w:sz w:val="24"/>
        </w:rPr>
        <w:t xml:space="preserve">can supplement human reporting by identifying unusual patterns, such as after-hours access or abnormal data transfers. Fraud prevention is only successful when human observation and technical controls are aligned. Organizations that implement behavioral </w:t>
      </w:r>
      <w:r w:rsidRPr="00473BBC">
        <w:rPr>
          <w:rFonts w:ascii="Times New Roman" w:hAnsi="Times New Roman" w:cs="Times New Roman"/>
          <w:sz w:val="24"/>
        </w:rPr>
        <w:lastRenderedPageBreak/>
        <w:t>awareness into their cybersecurity programs strengthen their "defense in depth" strategy. (Boyle &amp; Panko, 2020).</w:t>
      </w:r>
    </w:p>
    <w:p w14:paraId="7DB033A3" w14:textId="77777777" w:rsidR="00473BBC" w:rsidRPr="00473BBC" w:rsidRDefault="00473BBC" w:rsidP="00473BBC">
      <w:pPr>
        <w:jc w:val="center"/>
        <w:rPr>
          <w:rFonts w:ascii="Times New Roman" w:hAnsi="Times New Roman" w:cs="Times New Roman"/>
          <w:b/>
          <w:bCs/>
          <w:sz w:val="24"/>
        </w:rPr>
      </w:pPr>
      <w:r w:rsidRPr="00473BBC">
        <w:rPr>
          <w:rFonts w:ascii="Times New Roman" w:hAnsi="Times New Roman" w:cs="Times New Roman"/>
          <w:b/>
          <w:bCs/>
          <w:sz w:val="24"/>
        </w:rPr>
        <w:t>Conclusion</w:t>
      </w:r>
    </w:p>
    <w:p w14:paraId="1BAA2318" w14:textId="4BE425E5" w:rsidR="00DA256B" w:rsidRPr="00473BBC" w:rsidRDefault="00473BBC" w:rsidP="00473BBC">
      <w:pPr>
        <w:rPr>
          <w:rFonts w:ascii="Times New Roman" w:hAnsi="Times New Roman" w:cs="Times New Roman"/>
          <w:sz w:val="24"/>
        </w:rPr>
      </w:pPr>
      <w:r w:rsidRPr="00473BBC">
        <w:rPr>
          <w:rFonts w:ascii="Times New Roman" w:hAnsi="Times New Roman" w:cs="Times New Roman"/>
          <w:sz w:val="24"/>
        </w:rPr>
        <w:t xml:space="preserve">Occupational fraud illustrates a crossroad of human behavior and access control. The relationship between authority, tenure, and the scale of losses highlights how privilege and trust can evade internal controls. Departments handling financial transactions remain most vulnerable because they combine opportunity and access with limited oversight. Red flags serve as early indicators. These flags are only recognized if organizations train employees to identify them and provide a means to act when noticed. These lessons from fraud prevention align directly with principles of risk management, least privilege, cybersecurity awareness </w:t>
      </w:r>
      <w:r w:rsidR="002C22E7">
        <w:rPr>
          <w:rFonts w:ascii="Times New Roman" w:hAnsi="Times New Roman" w:cs="Times New Roman"/>
          <w:sz w:val="24"/>
        </w:rPr>
        <w:t>training</w:t>
      </w:r>
      <w:r w:rsidRPr="00473BBC">
        <w:rPr>
          <w:rFonts w:ascii="Times New Roman" w:hAnsi="Times New Roman" w:cs="Times New Roman"/>
          <w:sz w:val="24"/>
        </w:rPr>
        <w:t xml:space="preserve">, behavioral analysis, and insider threat mitigation. </w:t>
      </w: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31F2F32C" w14:textId="234DBDE4" w:rsidR="008946F1" w:rsidRDefault="00F4075C" w:rsidP="00F4075C">
      <w:pPr>
        <w:ind w:left="720" w:hanging="720"/>
        <w:rPr>
          <w:rFonts w:ascii="Times New Roman" w:hAnsi="Times New Roman" w:cs="Times New Roman"/>
          <w:sz w:val="24"/>
        </w:rPr>
      </w:pPr>
      <w:r w:rsidRPr="00F4075C">
        <w:rPr>
          <w:rFonts w:ascii="Times New Roman" w:hAnsi="Times New Roman" w:cs="Times New Roman"/>
          <w:sz w:val="24"/>
        </w:rPr>
        <w:t xml:space="preserve">Boyle, R., &amp; Panko, R. (2020). </w:t>
      </w:r>
      <w:r w:rsidRPr="00F4075C">
        <w:rPr>
          <w:rFonts w:ascii="Times New Roman" w:hAnsi="Times New Roman" w:cs="Times New Roman"/>
          <w:i/>
          <w:iCs/>
          <w:sz w:val="24"/>
        </w:rPr>
        <w:t>Corporate computer security</w:t>
      </w:r>
      <w:r w:rsidRPr="00F4075C">
        <w:rPr>
          <w:rFonts w:ascii="Times New Roman" w:hAnsi="Times New Roman" w:cs="Times New Roman"/>
          <w:sz w:val="24"/>
        </w:rPr>
        <w:t xml:space="preserve"> (5th ed.). Pearson.</w:t>
      </w:r>
    </w:p>
    <w:p w14:paraId="5CA4FD4E" w14:textId="51101F10" w:rsidR="0086172B" w:rsidRDefault="0086172B" w:rsidP="00F4075C">
      <w:pPr>
        <w:ind w:left="720" w:hanging="720"/>
        <w:rPr>
          <w:rFonts w:ascii="Times New Roman" w:hAnsi="Times New Roman" w:cs="Times New Roman"/>
          <w:sz w:val="24"/>
        </w:rPr>
      </w:pPr>
      <w:r w:rsidRPr="0086172B">
        <w:rPr>
          <w:rFonts w:ascii="Times New Roman" w:hAnsi="Times New Roman" w:cs="Times New Roman"/>
          <w:sz w:val="24"/>
        </w:rPr>
        <w:t xml:space="preserve">Association of Certified Fraud Examiners. (2024). </w:t>
      </w:r>
      <w:r w:rsidRPr="0086172B">
        <w:rPr>
          <w:rFonts w:ascii="Times New Roman" w:hAnsi="Times New Roman" w:cs="Times New Roman"/>
          <w:i/>
          <w:iCs/>
          <w:sz w:val="24"/>
        </w:rPr>
        <w:t>Occupational fraud 2024: A report to the nations</w:t>
      </w:r>
      <w:r w:rsidRPr="0086172B">
        <w:rPr>
          <w:rFonts w:ascii="Times New Roman" w:hAnsi="Times New Roman" w:cs="Times New Roman"/>
          <w:sz w:val="24"/>
        </w:rPr>
        <w:t xml:space="preserve"> [PDF]. </w:t>
      </w:r>
      <w:hyperlink r:id="rId10" w:tgtFrame="_blank" w:history="1">
        <w:r w:rsidRPr="0086172B">
          <w:rPr>
            <w:rStyle w:val="Hyperlink"/>
            <w:rFonts w:ascii="Times New Roman" w:hAnsi="Times New Roman" w:cs="Times New Roman"/>
            <w:sz w:val="24"/>
          </w:rPr>
          <w:t>https://www.acfe.com/-/media/files/acfe/pdfs/rttn/2024/2024-report-to-the-nations.pdf</w:t>
        </w:r>
      </w:hyperlink>
    </w:p>
    <w:p w14:paraId="1A60A8AD" w14:textId="06A835E8" w:rsidR="0086172B" w:rsidRDefault="00944A69" w:rsidP="00F4075C">
      <w:pPr>
        <w:ind w:left="720" w:hanging="720"/>
        <w:rPr>
          <w:rFonts w:ascii="Times New Roman" w:hAnsi="Times New Roman" w:cs="Times New Roman"/>
          <w:sz w:val="24"/>
        </w:rPr>
      </w:pPr>
      <w:r w:rsidRPr="00944A69">
        <w:rPr>
          <w:rFonts w:ascii="Times New Roman" w:hAnsi="Times New Roman" w:cs="Times New Roman"/>
          <w:sz w:val="24"/>
        </w:rPr>
        <w:t xml:space="preserve">Carney, D. D. (2021, January 22). </w:t>
      </w:r>
      <w:r w:rsidRPr="00944A69">
        <w:rPr>
          <w:rFonts w:ascii="Times New Roman" w:hAnsi="Times New Roman" w:cs="Times New Roman"/>
          <w:i/>
          <w:iCs/>
          <w:sz w:val="24"/>
        </w:rPr>
        <w:t>Employee fraud: Our takeaways from the acfe report to the nations</w:t>
      </w:r>
      <w:r w:rsidRPr="00944A69">
        <w:rPr>
          <w:rFonts w:ascii="Times New Roman" w:hAnsi="Times New Roman" w:cs="Times New Roman"/>
          <w:sz w:val="24"/>
        </w:rPr>
        <w:t xml:space="preserve">. Wipfli. Retrieved October 28, 2025, from </w:t>
      </w:r>
      <w:hyperlink r:id="rId11" w:tgtFrame="_blank" w:history="1">
        <w:r w:rsidRPr="00944A69">
          <w:rPr>
            <w:rStyle w:val="Hyperlink"/>
            <w:rFonts w:ascii="Times New Roman" w:hAnsi="Times New Roman" w:cs="Times New Roman"/>
            <w:sz w:val="24"/>
          </w:rPr>
          <w:t>https://www.wipfli.com/insights/articles/vflt-key-takeaways-from-acfes-2020-report-to-the-nations</w:t>
        </w:r>
      </w:hyperlink>
    </w:p>
    <w:p w14:paraId="159E14CF" w14:textId="29ED85B9" w:rsidR="00944A69" w:rsidRDefault="00DD629C" w:rsidP="00F4075C">
      <w:pPr>
        <w:ind w:left="720" w:hanging="720"/>
        <w:rPr>
          <w:rFonts w:ascii="Times New Roman" w:hAnsi="Times New Roman" w:cs="Times New Roman"/>
          <w:sz w:val="24"/>
        </w:rPr>
      </w:pPr>
      <w:r w:rsidRPr="00DD629C">
        <w:rPr>
          <w:rFonts w:ascii="Times New Roman" w:hAnsi="Times New Roman" w:cs="Times New Roman"/>
          <w:sz w:val="24"/>
        </w:rPr>
        <w:t xml:space="preserve">Veno, J. (2024, September 20). </w:t>
      </w:r>
      <w:r w:rsidRPr="00DD629C">
        <w:rPr>
          <w:rFonts w:ascii="Times New Roman" w:hAnsi="Times New Roman" w:cs="Times New Roman"/>
          <w:i/>
          <w:iCs/>
          <w:sz w:val="24"/>
        </w:rPr>
        <w:t>Preventing and detecting occupational fraud</w:t>
      </w:r>
      <w:r w:rsidRPr="00DD629C">
        <w:rPr>
          <w:rFonts w:ascii="Times New Roman" w:hAnsi="Times New Roman" w:cs="Times New Roman"/>
          <w:sz w:val="24"/>
        </w:rPr>
        <w:t xml:space="preserve">. New Jersey Society of Certified Public Accountants. Retrieved October 28, 2025, from </w:t>
      </w:r>
      <w:hyperlink r:id="rId12" w:tgtFrame="_blank" w:history="1">
        <w:r w:rsidRPr="00DD629C">
          <w:rPr>
            <w:rStyle w:val="Hyperlink"/>
            <w:rFonts w:ascii="Times New Roman" w:hAnsi="Times New Roman" w:cs="Times New Roman"/>
            <w:sz w:val="24"/>
          </w:rPr>
          <w:t>https://www.njcpa.org/article/2024/09/20/preventing-and-detecting-occupational-fraud</w:t>
        </w:r>
      </w:hyperlink>
    </w:p>
    <w:p w14:paraId="2D7FD2B3" w14:textId="62F2CC0E" w:rsidR="00DD629C" w:rsidRDefault="00744E7D" w:rsidP="00F4075C">
      <w:pPr>
        <w:ind w:left="720" w:hanging="720"/>
        <w:rPr>
          <w:rFonts w:ascii="Times New Roman" w:hAnsi="Times New Roman" w:cs="Times New Roman"/>
          <w:sz w:val="24"/>
        </w:rPr>
      </w:pPr>
      <w:r w:rsidRPr="00744E7D">
        <w:rPr>
          <w:rFonts w:ascii="Times New Roman" w:hAnsi="Times New Roman" w:cs="Times New Roman"/>
          <w:sz w:val="24"/>
        </w:rPr>
        <w:t xml:space="preserve">Association of Certified Fraud Examiners. (2024, July). </w:t>
      </w:r>
      <w:r w:rsidRPr="00744E7D">
        <w:rPr>
          <w:rFonts w:ascii="Times New Roman" w:hAnsi="Times New Roman" w:cs="Times New Roman"/>
          <w:i/>
          <w:iCs/>
          <w:sz w:val="24"/>
        </w:rPr>
        <w:t>The 6 most mommon behavioralrRed flags of fraud</w:t>
      </w:r>
      <w:r w:rsidRPr="00744E7D">
        <w:rPr>
          <w:rFonts w:ascii="Times New Roman" w:hAnsi="Times New Roman" w:cs="Times New Roman"/>
          <w:sz w:val="24"/>
        </w:rPr>
        <w:t xml:space="preserve">. Retrieved October 29, 2025, from </w:t>
      </w:r>
      <w:hyperlink r:id="rId13" w:tgtFrame="_blank" w:history="1">
        <w:r w:rsidRPr="00744E7D">
          <w:rPr>
            <w:rStyle w:val="Hyperlink"/>
            <w:rFonts w:ascii="Times New Roman" w:hAnsi="Times New Roman" w:cs="Times New Roman"/>
            <w:sz w:val="24"/>
          </w:rPr>
          <w:t>https://www.acfe.com/acfe-insights-blog/blog-detail?s=behavioral-red-flags-of-fraud</w:t>
        </w:r>
      </w:hyperlink>
    </w:p>
    <w:p w14:paraId="507CE9EE" w14:textId="16ED8BEC" w:rsidR="00744E7D" w:rsidRDefault="00073104" w:rsidP="00F4075C">
      <w:pPr>
        <w:ind w:left="720" w:hanging="720"/>
        <w:rPr>
          <w:rFonts w:ascii="Times New Roman" w:hAnsi="Times New Roman" w:cs="Times New Roman"/>
          <w:sz w:val="24"/>
        </w:rPr>
      </w:pPr>
      <w:r w:rsidRPr="00073104">
        <w:rPr>
          <w:rFonts w:ascii="Times New Roman" w:hAnsi="Times New Roman" w:cs="Times New Roman"/>
          <w:sz w:val="24"/>
        </w:rPr>
        <w:t xml:space="preserve">Trustpair. (2024, August 2). </w:t>
      </w:r>
      <w:r w:rsidRPr="00073104">
        <w:rPr>
          <w:rFonts w:ascii="Times New Roman" w:hAnsi="Times New Roman" w:cs="Times New Roman"/>
          <w:i/>
          <w:iCs/>
          <w:sz w:val="24"/>
        </w:rPr>
        <w:t>What are the most common red flags for fraud?</w:t>
      </w:r>
      <w:r w:rsidRPr="00073104">
        <w:rPr>
          <w:rFonts w:ascii="Times New Roman" w:hAnsi="Times New Roman" w:cs="Times New Roman"/>
          <w:sz w:val="24"/>
        </w:rPr>
        <w:t xml:space="preserve"> Retrieved October 30, 2025, from </w:t>
      </w:r>
      <w:hyperlink r:id="rId14" w:tgtFrame="_blank" w:history="1">
        <w:r w:rsidRPr="00073104">
          <w:rPr>
            <w:rStyle w:val="Hyperlink"/>
            <w:rFonts w:ascii="Times New Roman" w:hAnsi="Times New Roman" w:cs="Times New Roman"/>
            <w:sz w:val="24"/>
          </w:rPr>
          <w:t>https://trustpair.com/blog/what-are-the-most-common-red-flags-for-fraud/</w:t>
        </w:r>
      </w:hyperlink>
    </w:p>
    <w:sectPr w:rsidR="00744E7D" w:rsidSect="00F4790E">
      <w:headerReference w:type="default" r:id="rId15"/>
      <w:headerReference w:type="first" r:id="rId16"/>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1187" w14:textId="77777777" w:rsidR="00126404" w:rsidRDefault="00126404">
      <w:pPr>
        <w:spacing w:line="240" w:lineRule="auto"/>
      </w:pPr>
      <w:r>
        <w:separator/>
      </w:r>
    </w:p>
    <w:p w14:paraId="0D75256A" w14:textId="77777777" w:rsidR="00126404" w:rsidRDefault="00126404"/>
  </w:endnote>
  <w:endnote w:type="continuationSeparator" w:id="0">
    <w:p w14:paraId="59A1F2DE" w14:textId="77777777" w:rsidR="00126404" w:rsidRDefault="00126404">
      <w:pPr>
        <w:spacing w:line="240" w:lineRule="auto"/>
      </w:pPr>
      <w:r>
        <w:continuationSeparator/>
      </w:r>
    </w:p>
    <w:p w14:paraId="34EF07F7" w14:textId="77777777" w:rsidR="00126404" w:rsidRDefault="001264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2C48" w14:textId="77777777" w:rsidR="00126404" w:rsidRDefault="00126404">
      <w:pPr>
        <w:spacing w:line="240" w:lineRule="auto"/>
      </w:pPr>
      <w:r>
        <w:separator/>
      </w:r>
    </w:p>
    <w:p w14:paraId="4692B127" w14:textId="77777777" w:rsidR="00126404" w:rsidRDefault="00126404"/>
  </w:footnote>
  <w:footnote w:type="continuationSeparator" w:id="0">
    <w:p w14:paraId="7E51280C" w14:textId="77777777" w:rsidR="00126404" w:rsidRDefault="00126404">
      <w:pPr>
        <w:spacing w:line="240" w:lineRule="auto"/>
      </w:pPr>
      <w:r>
        <w:continuationSeparator/>
      </w:r>
    </w:p>
    <w:p w14:paraId="0A7A5205" w14:textId="77777777" w:rsidR="00126404" w:rsidRDefault="001264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17B5E"/>
    <w:rsid w:val="00023AFE"/>
    <w:rsid w:val="000279F6"/>
    <w:rsid w:val="00030734"/>
    <w:rsid w:val="00030924"/>
    <w:rsid w:val="00030BFC"/>
    <w:rsid w:val="00031E0F"/>
    <w:rsid w:val="00033072"/>
    <w:rsid w:val="0003536F"/>
    <w:rsid w:val="0003602E"/>
    <w:rsid w:val="00044F5F"/>
    <w:rsid w:val="00046A5B"/>
    <w:rsid w:val="00047926"/>
    <w:rsid w:val="0005250B"/>
    <w:rsid w:val="000615E6"/>
    <w:rsid w:val="000647BB"/>
    <w:rsid w:val="000703D7"/>
    <w:rsid w:val="00071F0C"/>
    <w:rsid w:val="00073104"/>
    <w:rsid w:val="000827D2"/>
    <w:rsid w:val="000914C7"/>
    <w:rsid w:val="000A3D9B"/>
    <w:rsid w:val="000A5556"/>
    <w:rsid w:val="000A68C3"/>
    <w:rsid w:val="000C43E6"/>
    <w:rsid w:val="000C71CD"/>
    <w:rsid w:val="000D00B0"/>
    <w:rsid w:val="000D3AB8"/>
    <w:rsid w:val="000D43C9"/>
    <w:rsid w:val="000D4642"/>
    <w:rsid w:val="000D539D"/>
    <w:rsid w:val="000D6CE5"/>
    <w:rsid w:val="000F6EE8"/>
    <w:rsid w:val="001004B7"/>
    <w:rsid w:val="00105A67"/>
    <w:rsid w:val="00111231"/>
    <w:rsid w:val="00116273"/>
    <w:rsid w:val="00117C85"/>
    <w:rsid w:val="00120FA4"/>
    <w:rsid w:val="00121084"/>
    <w:rsid w:val="001243A9"/>
    <w:rsid w:val="00124CB1"/>
    <w:rsid w:val="00125ED7"/>
    <w:rsid w:val="00126404"/>
    <w:rsid w:val="00131593"/>
    <w:rsid w:val="00132572"/>
    <w:rsid w:val="00136DC9"/>
    <w:rsid w:val="00161FB7"/>
    <w:rsid w:val="00165A80"/>
    <w:rsid w:val="00176B9C"/>
    <w:rsid w:val="001776FC"/>
    <w:rsid w:val="001815A0"/>
    <w:rsid w:val="001820EF"/>
    <w:rsid w:val="00186130"/>
    <w:rsid w:val="00187210"/>
    <w:rsid w:val="00190C51"/>
    <w:rsid w:val="001A378D"/>
    <w:rsid w:val="001A3F09"/>
    <w:rsid w:val="001A71B3"/>
    <w:rsid w:val="001B3A9D"/>
    <w:rsid w:val="001B5B71"/>
    <w:rsid w:val="001B5E40"/>
    <w:rsid w:val="001B67D4"/>
    <w:rsid w:val="001C347D"/>
    <w:rsid w:val="001C3741"/>
    <w:rsid w:val="001D4489"/>
    <w:rsid w:val="001D5A40"/>
    <w:rsid w:val="001E2FF9"/>
    <w:rsid w:val="001F01AB"/>
    <w:rsid w:val="001F6E8F"/>
    <w:rsid w:val="00201024"/>
    <w:rsid w:val="00201E6D"/>
    <w:rsid w:val="00205675"/>
    <w:rsid w:val="00205EC1"/>
    <w:rsid w:val="00210D58"/>
    <w:rsid w:val="00213F09"/>
    <w:rsid w:val="00233450"/>
    <w:rsid w:val="00235AEE"/>
    <w:rsid w:val="002379A8"/>
    <w:rsid w:val="00241BD8"/>
    <w:rsid w:val="00244191"/>
    <w:rsid w:val="00246091"/>
    <w:rsid w:val="0025057B"/>
    <w:rsid w:val="002505DD"/>
    <w:rsid w:val="002514F4"/>
    <w:rsid w:val="00254A3D"/>
    <w:rsid w:val="0027368A"/>
    <w:rsid w:val="00280964"/>
    <w:rsid w:val="002822E7"/>
    <w:rsid w:val="00286F05"/>
    <w:rsid w:val="0028765C"/>
    <w:rsid w:val="00294CFF"/>
    <w:rsid w:val="002A24F3"/>
    <w:rsid w:val="002A41A4"/>
    <w:rsid w:val="002A754A"/>
    <w:rsid w:val="002B0D5B"/>
    <w:rsid w:val="002C0F59"/>
    <w:rsid w:val="002C17B5"/>
    <w:rsid w:val="002C22E7"/>
    <w:rsid w:val="002C3433"/>
    <w:rsid w:val="002C697B"/>
    <w:rsid w:val="002C6CA6"/>
    <w:rsid w:val="002C79E6"/>
    <w:rsid w:val="002C7DAF"/>
    <w:rsid w:val="002D18BE"/>
    <w:rsid w:val="002D1D16"/>
    <w:rsid w:val="002E23C2"/>
    <w:rsid w:val="002F065E"/>
    <w:rsid w:val="002F3AE9"/>
    <w:rsid w:val="002F5A35"/>
    <w:rsid w:val="0030062E"/>
    <w:rsid w:val="003046E5"/>
    <w:rsid w:val="003126BC"/>
    <w:rsid w:val="00323F98"/>
    <w:rsid w:val="003242D4"/>
    <w:rsid w:val="00325EBB"/>
    <w:rsid w:val="00331CBA"/>
    <w:rsid w:val="0033467F"/>
    <w:rsid w:val="0034212F"/>
    <w:rsid w:val="00345372"/>
    <w:rsid w:val="003462E2"/>
    <w:rsid w:val="00350935"/>
    <w:rsid w:val="003537E7"/>
    <w:rsid w:val="00363640"/>
    <w:rsid w:val="00364DF3"/>
    <w:rsid w:val="00364ED4"/>
    <w:rsid w:val="003725D8"/>
    <w:rsid w:val="003804CC"/>
    <w:rsid w:val="00380AC6"/>
    <w:rsid w:val="00384ED0"/>
    <w:rsid w:val="0039688B"/>
    <w:rsid w:val="003A40F9"/>
    <w:rsid w:val="003A7792"/>
    <w:rsid w:val="003B15C3"/>
    <w:rsid w:val="003B2894"/>
    <w:rsid w:val="003B489C"/>
    <w:rsid w:val="003C3810"/>
    <w:rsid w:val="003C51D8"/>
    <w:rsid w:val="003D043B"/>
    <w:rsid w:val="003D4271"/>
    <w:rsid w:val="003E5E06"/>
    <w:rsid w:val="003F14D5"/>
    <w:rsid w:val="003F35C8"/>
    <w:rsid w:val="003F4BB9"/>
    <w:rsid w:val="003F72E6"/>
    <w:rsid w:val="004021E2"/>
    <w:rsid w:val="0040377D"/>
    <w:rsid w:val="004174EF"/>
    <w:rsid w:val="00420F0D"/>
    <w:rsid w:val="00420F38"/>
    <w:rsid w:val="004356EA"/>
    <w:rsid w:val="00441A7D"/>
    <w:rsid w:val="0044367F"/>
    <w:rsid w:val="00462652"/>
    <w:rsid w:val="00462D4D"/>
    <w:rsid w:val="004635F6"/>
    <w:rsid w:val="00467414"/>
    <w:rsid w:val="00473BBC"/>
    <w:rsid w:val="00474E91"/>
    <w:rsid w:val="00487A3C"/>
    <w:rsid w:val="0049185A"/>
    <w:rsid w:val="00496657"/>
    <w:rsid w:val="00497987"/>
    <w:rsid w:val="004B52D4"/>
    <w:rsid w:val="004C6053"/>
    <w:rsid w:val="004C68F7"/>
    <w:rsid w:val="004D1056"/>
    <w:rsid w:val="004D14BA"/>
    <w:rsid w:val="004E3E88"/>
    <w:rsid w:val="004E4E02"/>
    <w:rsid w:val="004F313E"/>
    <w:rsid w:val="004F541E"/>
    <w:rsid w:val="004F7268"/>
    <w:rsid w:val="00500425"/>
    <w:rsid w:val="00501307"/>
    <w:rsid w:val="005058C2"/>
    <w:rsid w:val="005215D7"/>
    <w:rsid w:val="005251AB"/>
    <w:rsid w:val="00531B13"/>
    <w:rsid w:val="00532D95"/>
    <w:rsid w:val="00540F46"/>
    <w:rsid w:val="0054494A"/>
    <w:rsid w:val="00551E2B"/>
    <w:rsid w:val="0055494D"/>
    <w:rsid w:val="00562505"/>
    <w:rsid w:val="00562A90"/>
    <w:rsid w:val="00564A24"/>
    <w:rsid w:val="00564B6D"/>
    <w:rsid w:val="005651AE"/>
    <w:rsid w:val="005666D3"/>
    <w:rsid w:val="00570DF0"/>
    <w:rsid w:val="0057641E"/>
    <w:rsid w:val="00576712"/>
    <w:rsid w:val="00580E81"/>
    <w:rsid w:val="005956AB"/>
    <w:rsid w:val="005A0493"/>
    <w:rsid w:val="005A4514"/>
    <w:rsid w:val="005B2D90"/>
    <w:rsid w:val="005C199E"/>
    <w:rsid w:val="005C3A39"/>
    <w:rsid w:val="005D343C"/>
    <w:rsid w:val="005D3991"/>
    <w:rsid w:val="005D4A95"/>
    <w:rsid w:val="005D4D54"/>
    <w:rsid w:val="005D6770"/>
    <w:rsid w:val="005D70B5"/>
    <w:rsid w:val="005E1AF8"/>
    <w:rsid w:val="005E38F9"/>
    <w:rsid w:val="005E51FB"/>
    <w:rsid w:val="005E7ADB"/>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5547E"/>
    <w:rsid w:val="00656C39"/>
    <w:rsid w:val="00660F48"/>
    <w:rsid w:val="00661816"/>
    <w:rsid w:val="00662962"/>
    <w:rsid w:val="0066443E"/>
    <w:rsid w:val="00664C1A"/>
    <w:rsid w:val="0068047E"/>
    <w:rsid w:val="00687F12"/>
    <w:rsid w:val="00694E98"/>
    <w:rsid w:val="006A1B2D"/>
    <w:rsid w:val="006A55A2"/>
    <w:rsid w:val="006B108A"/>
    <w:rsid w:val="006C2303"/>
    <w:rsid w:val="006E039C"/>
    <w:rsid w:val="006E20FF"/>
    <w:rsid w:val="006E351C"/>
    <w:rsid w:val="006E42D3"/>
    <w:rsid w:val="006E67BC"/>
    <w:rsid w:val="006F4D32"/>
    <w:rsid w:val="006F4F08"/>
    <w:rsid w:val="007022BE"/>
    <w:rsid w:val="00707883"/>
    <w:rsid w:val="0071587F"/>
    <w:rsid w:val="00727936"/>
    <w:rsid w:val="00727E4F"/>
    <w:rsid w:val="007361FC"/>
    <w:rsid w:val="0073675F"/>
    <w:rsid w:val="00744E7D"/>
    <w:rsid w:val="00747163"/>
    <w:rsid w:val="007476CF"/>
    <w:rsid w:val="00747C29"/>
    <w:rsid w:val="007519FE"/>
    <w:rsid w:val="00755002"/>
    <w:rsid w:val="007550FC"/>
    <w:rsid w:val="007577D5"/>
    <w:rsid w:val="00760964"/>
    <w:rsid w:val="00775937"/>
    <w:rsid w:val="0077742D"/>
    <w:rsid w:val="00777EA1"/>
    <w:rsid w:val="00793A86"/>
    <w:rsid w:val="00797255"/>
    <w:rsid w:val="007A125D"/>
    <w:rsid w:val="007A359B"/>
    <w:rsid w:val="007B1BE5"/>
    <w:rsid w:val="007B1C26"/>
    <w:rsid w:val="007B3A02"/>
    <w:rsid w:val="007C4402"/>
    <w:rsid w:val="007C65B1"/>
    <w:rsid w:val="007D1F80"/>
    <w:rsid w:val="007D35C6"/>
    <w:rsid w:val="007D3966"/>
    <w:rsid w:val="007D4ECE"/>
    <w:rsid w:val="007E23F4"/>
    <w:rsid w:val="007E4FF0"/>
    <w:rsid w:val="007F0CA2"/>
    <w:rsid w:val="007F62FC"/>
    <w:rsid w:val="00800D46"/>
    <w:rsid w:val="008026D4"/>
    <w:rsid w:val="008064CA"/>
    <w:rsid w:val="008064E9"/>
    <w:rsid w:val="008129DB"/>
    <w:rsid w:val="00817675"/>
    <w:rsid w:val="008243B2"/>
    <w:rsid w:val="00832B2B"/>
    <w:rsid w:val="00837AF3"/>
    <w:rsid w:val="008419BC"/>
    <w:rsid w:val="008515CF"/>
    <w:rsid w:val="0085197D"/>
    <w:rsid w:val="00852A9D"/>
    <w:rsid w:val="008548A1"/>
    <w:rsid w:val="0086172B"/>
    <w:rsid w:val="00863F19"/>
    <w:rsid w:val="0086523B"/>
    <w:rsid w:val="008658DD"/>
    <w:rsid w:val="0087407D"/>
    <w:rsid w:val="00885E70"/>
    <w:rsid w:val="00886622"/>
    <w:rsid w:val="00887AE7"/>
    <w:rsid w:val="008946F1"/>
    <w:rsid w:val="00896D85"/>
    <w:rsid w:val="0089743D"/>
    <w:rsid w:val="008A12E1"/>
    <w:rsid w:val="008A1A29"/>
    <w:rsid w:val="008A30B7"/>
    <w:rsid w:val="008A3A7A"/>
    <w:rsid w:val="008A77DD"/>
    <w:rsid w:val="008A7E4A"/>
    <w:rsid w:val="008B0D15"/>
    <w:rsid w:val="008C1F83"/>
    <w:rsid w:val="008C5418"/>
    <w:rsid w:val="008C5E81"/>
    <w:rsid w:val="008C7300"/>
    <w:rsid w:val="008D456A"/>
    <w:rsid w:val="008D56B1"/>
    <w:rsid w:val="008D7DA5"/>
    <w:rsid w:val="008E3AC2"/>
    <w:rsid w:val="008E5358"/>
    <w:rsid w:val="008F2962"/>
    <w:rsid w:val="008F2FA3"/>
    <w:rsid w:val="008F79E4"/>
    <w:rsid w:val="0090173E"/>
    <w:rsid w:val="00930AD3"/>
    <w:rsid w:val="009319BA"/>
    <w:rsid w:val="00940977"/>
    <w:rsid w:val="00944A69"/>
    <w:rsid w:val="00954DCE"/>
    <w:rsid w:val="00961ABD"/>
    <w:rsid w:val="00991B32"/>
    <w:rsid w:val="00991C34"/>
    <w:rsid w:val="00995F5A"/>
    <w:rsid w:val="0099682C"/>
    <w:rsid w:val="0099721E"/>
    <w:rsid w:val="009A0F5E"/>
    <w:rsid w:val="009A257E"/>
    <w:rsid w:val="009B5A36"/>
    <w:rsid w:val="009C3960"/>
    <w:rsid w:val="009C3BE2"/>
    <w:rsid w:val="009C3F20"/>
    <w:rsid w:val="009C4993"/>
    <w:rsid w:val="009D1351"/>
    <w:rsid w:val="009D2E3B"/>
    <w:rsid w:val="009D33BB"/>
    <w:rsid w:val="009D38EB"/>
    <w:rsid w:val="009E6063"/>
    <w:rsid w:val="009F11DF"/>
    <w:rsid w:val="009F3B97"/>
    <w:rsid w:val="00A045CE"/>
    <w:rsid w:val="00A06D13"/>
    <w:rsid w:val="00A07416"/>
    <w:rsid w:val="00A25BB3"/>
    <w:rsid w:val="00A2626A"/>
    <w:rsid w:val="00A31AD8"/>
    <w:rsid w:val="00A417C1"/>
    <w:rsid w:val="00A43BE1"/>
    <w:rsid w:val="00A5044C"/>
    <w:rsid w:val="00A505B3"/>
    <w:rsid w:val="00A518F9"/>
    <w:rsid w:val="00A52B72"/>
    <w:rsid w:val="00A536C4"/>
    <w:rsid w:val="00A57AB8"/>
    <w:rsid w:val="00A60762"/>
    <w:rsid w:val="00A6349D"/>
    <w:rsid w:val="00A652DC"/>
    <w:rsid w:val="00A6539E"/>
    <w:rsid w:val="00A6689F"/>
    <w:rsid w:val="00A66DBF"/>
    <w:rsid w:val="00A673F2"/>
    <w:rsid w:val="00A67A6F"/>
    <w:rsid w:val="00A92F5D"/>
    <w:rsid w:val="00A93B41"/>
    <w:rsid w:val="00A96922"/>
    <w:rsid w:val="00AB113A"/>
    <w:rsid w:val="00AB6E8E"/>
    <w:rsid w:val="00AC4D10"/>
    <w:rsid w:val="00AD2C9F"/>
    <w:rsid w:val="00AE215B"/>
    <w:rsid w:val="00AE520A"/>
    <w:rsid w:val="00AE6FF4"/>
    <w:rsid w:val="00AF5DF4"/>
    <w:rsid w:val="00AF7BBF"/>
    <w:rsid w:val="00B03C72"/>
    <w:rsid w:val="00B07053"/>
    <w:rsid w:val="00B138CC"/>
    <w:rsid w:val="00B163E6"/>
    <w:rsid w:val="00B24451"/>
    <w:rsid w:val="00B24BA9"/>
    <w:rsid w:val="00B3456E"/>
    <w:rsid w:val="00B36558"/>
    <w:rsid w:val="00B407FA"/>
    <w:rsid w:val="00B50E75"/>
    <w:rsid w:val="00B674FD"/>
    <w:rsid w:val="00B82B54"/>
    <w:rsid w:val="00B863FB"/>
    <w:rsid w:val="00B86440"/>
    <w:rsid w:val="00B92C17"/>
    <w:rsid w:val="00B9395B"/>
    <w:rsid w:val="00B945D1"/>
    <w:rsid w:val="00BA2331"/>
    <w:rsid w:val="00BB0E59"/>
    <w:rsid w:val="00BB2D6F"/>
    <w:rsid w:val="00BB6E51"/>
    <w:rsid w:val="00BC003A"/>
    <w:rsid w:val="00BC65BA"/>
    <w:rsid w:val="00BC7321"/>
    <w:rsid w:val="00BC75E5"/>
    <w:rsid w:val="00BD519F"/>
    <w:rsid w:val="00BE12AC"/>
    <w:rsid w:val="00BE1816"/>
    <w:rsid w:val="00BE19F4"/>
    <w:rsid w:val="00BE4D36"/>
    <w:rsid w:val="00BE639C"/>
    <w:rsid w:val="00BF08E0"/>
    <w:rsid w:val="00BF25DA"/>
    <w:rsid w:val="00BF66AD"/>
    <w:rsid w:val="00C00F8F"/>
    <w:rsid w:val="00C03068"/>
    <w:rsid w:val="00C07114"/>
    <w:rsid w:val="00C11D86"/>
    <w:rsid w:val="00C148C0"/>
    <w:rsid w:val="00C23376"/>
    <w:rsid w:val="00C30531"/>
    <w:rsid w:val="00C320F5"/>
    <w:rsid w:val="00C4113A"/>
    <w:rsid w:val="00C41EBB"/>
    <w:rsid w:val="00C44E8B"/>
    <w:rsid w:val="00C45B09"/>
    <w:rsid w:val="00C47BAA"/>
    <w:rsid w:val="00C500E6"/>
    <w:rsid w:val="00C5449B"/>
    <w:rsid w:val="00C6500E"/>
    <w:rsid w:val="00C65D80"/>
    <w:rsid w:val="00C76E78"/>
    <w:rsid w:val="00C85B3D"/>
    <w:rsid w:val="00C86DE0"/>
    <w:rsid w:val="00C91476"/>
    <w:rsid w:val="00C91DD5"/>
    <w:rsid w:val="00C95418"/>
    <w:rsid w:val="00CA04BB"/>
    <w:rsid w:val="00CA5104"/>
    <w:rsid w:val="00CA6686"/>
    <w:rsid w:val="00CA7593"/>
    <w:rsid w:val="00CB08A5"/>
    <w:rsid w:val="00CB2CFF"/>
    <w:rsid w:val="00CB6ADB"/>
    <w:rsid w:val="00CC0097"/>
    <w:rsid w:val="00CD2F80"/>
    <w:rsid w:val="00CD4277"/>
    <w:rsid w:val="00CD6931"/>
    <w:rsid w:val="00CD72C3"/>
    <w:rsid w:val="00CE03F0"/>
    <w:rsid w:val="00CE1019"/>
    <w:rsid w:val="00CE5041"/>
    <w:rsid w:val="00CE5C13"/>
    <w:rsid w:val="00CE5CCE"/>
    <w:rsid w:val="00CE7B15"/>
    <w:rsid w:val="00CF2047"/>
    <w:rsid w:val="00CF7CD2"/>
    <w:rsid w:val="00D04B1B"/>
    <w:rsid w:val="00D04CE8"/>
    <w:rsid w:val="00D13ACE"/>
    <w:rsid w:val="00D14032"/>
    <w:rsid w:val="00D14958"/>
    <w:rsid w:val="00D170F9"/>
    <w:rsid w:val="00D17862"/>
    <w:rsid w:val="00D23D0E"/>
    <w:rsid w:val="00D257F1"/>
    <w:rsid w:val="00D32BC6"/>
    <w:rsid w:val="00D37A9D"/>
    <w:rsid w:val="00D42585"/>
    <w:rsid w:val="00D470DD"/>
    <w:rsid w:val="00D47652"/>
    <w:rsid w:val="00D47E99"/>
    <w:rsid w:val="00D50D2A"/>
    <w:rsid w:val="00D620FD"/>
    <w:rsid w:val="00D677FF"/>
    <w:rsid w:val="00D70583"/>
    <w:rsid w:val="00D72694"/>
    <w:rsid w:val="00D7452E"/>
    <w:rsid w:val="00D85B4C"/>
    <w:rsid w:val="00D91044"/>
    <w:rsid w:val="00D93331"/>
    <w:rsid w:val="00D93391"/>
    <w:rsid w:val="00D93FED"/>
    <w:rsid w:val="00DA256B"/>
    <w:rsid w:val="00DA41D6"/>
    <w:rsid w:val="00DA4543"/>
    <w:rsid w:val="00DB231C"/>
    <w:rsid w:val="00DC0D22"/>
    <w:rsid w:val="00DC3940"/>
    <w:rsid w:val="00DC3B05"/>
    <w:rsid w:val="00DC6309"/>
    <w:rsid w:val="00DC7A81"/>
    <w:rsid w:val="00DD2227"/>
    <w:rsid w:val="00DD629C"/>
    <w:rsid w:val="00DD69A9"/>
    <w:rsid w:val="00DE43D7"/>
    <w:rsid w:val="00DF06C9"/>
    <w:rsid w:val="00DF0855"/>
    <w:rsid w:val="00DF60D0"/>
    <w:rsid w:val="00E169DD"/>
    <w:rsid w:val="00E320E7"/>
    <w:rsid w:val="00E32704"/>
    <w:rsid w:val="00E401F2"/>
    <w:rsid w:val="00E5145E"/>
    <w:rsid w:val="00E52222"/>
    <w:rsid w:val="00E60664"/>
    <w:rsid w:val="00E62FA4"/>
    <w:rsid w:val="00E64EAE"/>
    <w:rsid w:val="00E67454"/>
    <w:rsid w:val="00E72245"/>
    <w:rsid w:val="00E84455"/>
    <w:rsid w:val="00E90162"/>
    <w:rsid w:val="00EA42F9"/>
    <w:rsid w:val="00EA510E"/>
    <w:rsid w:val="00EC189A"/>
    <w:rsid w:val="00ED1D6D"/>
    <w:rsid w:val="00ED2863"/>
    <w:rsid w:val="00EE2770"/>
    <w:rsid w:val="00EE3717"/>
    <w:rsid w:val="00EF1FCD"/>
    <w:rsid w:val="00EF55C5"/>
    <w:rsid w:val="00F0036A"/>
    <w:rsid w:val="00F13A50"/>
    <w:rsid w:val="00F14E34"/>
    <w:rsid w:val="00F15959"/>
    <w:rsid w:val="00F2136A"/>
    <w:rsid w:val="00F22A78"/>
    <w:rsid w:val="00F3038B"/>
    <w:rsid w:val="00F32081"/>
    <w:rsid w:val="00F36C21"/>
    <w:rsid w:val="00F4075C"/>
    <w:rsid w:val="00F40CB2"/>
    <w:rsid w:val="00F45BCF"/>
    <w:rsid w:val="00F4790E"/>
    <w:rsid w:val="00F5132B"/>
    <w:rsid w:val="00F52907"/>
    <w:rsid w:val="00F52EC7"/>
    <w:rsid w:val="00F560E6"/>
    <w:rsid w:val="00F6242A"/>
    <w:rsid w:val="00F74D60"/>
    <w:rsid w:val="00F92519"/>
    <w:rsid w:val="00F971DD"/>
    <w:rsid w:val="00FA087C"/>
    <w:rsid w:val="00FA515D"/>
    <w:rsid w:val="00FB18B4"/>
    <w:rsid w:val="00FB5EE5"/>
    <w:rsid w:val="00FC1164"/>
    <w:rsid w:val="00FC1B8C"/>
    <w:rsid w:val="00FC6A35"/>
    <w:rsid w:val="00FC79CC"/>
    <w:rsid w:val="00FD0666"/>
    <w:rsid w:val="00FD15E2"/>
    <w:rsid w:val="00FD2DA3"/>
    <w:rsid w:val="00FD3F49"/>
    <w:rsid w:val="00FD552F"/>
    <w:rsid w:val="00FE3944"/>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fe.com/acfe-insights-blog/blog-detail?s=behavioral-red-flags-of-fraud"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jcpa.org/article/2024/09/20/preventing-and-detecting-occupational-frau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wipfli.com/insights/articles/vflt-key-takeaways-from-acfes-2020-report-to-the-nation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acfe.com/-/media/files/acfe/pdfs/rttn/2024/2024-report-to-the-nations.pdf"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rustpair.com/blog/what-are-the-most-common-red-flags-for-frau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035576"/>
    <w:rsid w:val="002822E7"/>
    <w:rsid w:val="002C7DAF"/>
    <w:rsid w:val="002F0FC5"/>
    <w:rsid w:val="0034212F"/>
    <w:rsid w:val="003B5A2A"/>
    <w:rsid w:val="003D4271"/>
    <w:rsid w:val="0040377D"/>
    <w:rsid w:val="00524333"/>
    <w:rsid w:val="005E38F9"/>
    <w:rsid w:val="00603FE4"/>
    <w:rsid w:val="006A2777"/>
    <w:rsid w:val="007763D9"/>
    <w:rsid w:val="008A30B7"/>
    <w:rsid w:val="008C5E81"/>
    <w:rsid w:val="008D799B"/>
    <w:rsid w:val="00954DCE"/>
    <w:rsid w:val="009B1EC2"/>
    <w:rsid w:val="009C3F20"/>
    <w:rsid w:val="009D700B"/>
    <w:rsid w:val="00A06D13"/>
    <w:rsid w:val="00A51A05"/>
    <w:rsid w:val="00A75D84"/>
    <w:rsid w:val="00B633EE"/>
    <w:rsid w:val="00B7235E"/>
    <w:rsid w:val="00B80D6C"/>
    <w:rsid w:val="00B9658D"/>
    <w:rsid w:val="00C11D86"/>
    <w:rsid w:val="00C320F5"/>
    <w:rsid w:val="00CE5C13"/>
    <w:rsid w:val="00D42585"/>
    <w:rsid w:val="00E21512"/>
    <w:rsid w:val="00E75930"/>
    <w:rsid w:val="00F15959"/>
    <w:rsid w:val="00FC0EA2"/>
    <w:rsid w:val="00FD3884"/>
    <w:rsid w:val="00FD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354</TotalTime>
  <Pages>7</Pages>
  <Words>1398</Words>
  <Characters>9244</Characters>
  <Application>Microsoft Office Word</Application>
  <DocSecurity>0</DocSecurity>
  <Lines>151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29</cp:revision>
  <dcterms:created xsi:type="dcterms:W3CDTF">2025-11-02T14:52:00Z</dcterms:created>
  <dcterms:modified xsi:type="dcterms:W3CDTF">2025-11-03T23:20:00Z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aa0eebd9-50a8-4f4e-ad02-bf679d157c3b</vt:lpwstr>
  </property>
</Properties>
</file>