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34D399"/>
          <w:sz w:val="80"/>
          <w:szCs w:val="80"/>
        </w:rPr>
        <w:t xml:space="preserve">CULTYRA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EE7B7"/>
          <w:sz w:val="26"/>
          <w:szCs w:val="26"/>
        </w:rPr>
        <w:t xml:space="preserve">Tecnología que cultiva el futuro</w:t>
      </w:r>
    </w:p>
    <w:p>
      <w:pPr>
        <w:pBdr>
          <w:top w:val="single" w:color="34D399" w:sz="8" w:space="8"/>
          <w:bottom w:val="single" w:color="34D399" w:sz="8" w:space="8"/>
        </w:pBdr>
        <w:spacing w:after="200" w:before="0"/>
        <w:jc w:val="center"/>
      </w:pPr>
      <w:r>
        <w:rPr>
          <w:rFonts w:ascii="Arial" w:cs="Arial" w:eastAsia="Arial" w:hAnsi="Arial"/>
          <w:b/>
          <w:bCs/>
          <w:color w:val="111827"/>
          <w:sz w:val="42"/>
          <w:szCs w:val="42"/>
        </w:rPr>
        <w:t xml:space="preserve">GUÍA DE PALETA DE COLORES</w:t>
      </w:r>
    </w:p>
    <w:p>
      <w:pPr>
        <w:spacing w:after="800" w:before="2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Deep Graphite + Mint Glow  ·  Versión 1.0  ·  Junio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Versión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4"/>
                <w:szCs w:val="24"/>
              </w:rPr>
              <w:t xml:space="preserve">1.0</w:t>
            </w:r>
          </w:p>
        </w:tc>
        <w:tc>
          <w:tcPr>
            <w:tcW w:type="dxa" w:w="5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9FAFB"/>
                <w:sz w:val="20"/>
                <w:szCs w:val="20"/>
              </w:rPr>
              <w:t xml:space="preserve">Proyecto CULTYRA · CTP José Figueres Ferrer · CORVEC 2026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Junio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4"/>
                <w:szCs w:val="24"/>
              </w:rPr>
              <w:t xml:space="preserve">2026</w:t>
            </w:r>
          </w:p>
        </w:tc>
      </w:tr>
    </w:tbl>
    <w:p>
      <w:r>
        <w:br w:type="page"/>
      </w:r>
    </w:p>
    <w:p>
      <w:pPr>
        <w:pBdr>
          <w:bottom w:val="single" w:color="34D399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1. Filosofía de la Paleta</w:t>
      </w:r>
    </w:p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La paleta de CULTYRA combina dos colores ancla que reflejan la identidad del producto: tecnología agrícola costarricense de última generación.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300"/>
              <w:left w:type="dxa" w:w="240"/>
              <w:bottom w:type="dxa" w:w="300"/>
              <w:right w:type="dxa" w:w="2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32"/>
                <w:szCs w:val="32"/>
              </w:rPr>
              <w:t xml:space="preserve">Deep Graphite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9CA3AF"/>
                <w:sz w:val="24"/>
                <w:szCs w:val="24"/>
              </w:rPr>
              <w:t xml:space="preserve">#111827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6EE7B7"/>
                <w:sz w:val="20"/>
                <w:szCs w:val="20"/>
              </w:rPr>
              <w:t xml:space="preserve">Profundidad · Confianza · Tecnología</w:t>
            </w:r>
          </w:p>
        </w:tc>
        <w:tc>
          <w:tcPr>
            <w:tcW w:type="dxa" w:w="4513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4D399" w:val="clear"/>
            <w:tcMar>
              <w:top w:type="dxa" w:w="300"/>
              <w:left w:type="dxa" w:w="240"/>
              <w:bottom w:type="dxa" w:w="300"/>
              <w:right w:type="dxa" w:w="240"/>
            </w:tcMar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32"/>
                <w:szCs w:val="32"/>
              </w:rPr>
              <w:t xml:space="preserve">Mint Glow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1F2937"/>
                <w:sz w:val="24"/>
                <w:szCs w:val="24"/>
              </w:rPr>
              <w:t xml:space="preserve">#34D399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065F46"/>
                <w:sz w:val="20"/>
                <w:szCs w:val="20"/>
              </w:rPr>
              <w:t xml:space="preserve">Naturaleza · Crecimiento · Frescura</w:t>
            </w:r>
          </w:p>
        </w:tc>
      </w:tr>
    </w:tbl>
    <w:p>
      <w:pPr>
        <w:spacing w:after="200" w:before="0"/>
      </w:pPr>
    </w:p>
    <w:p>
      <w:pPr>
        <w:spacing w:after="200" w:before="0"/>
      </w:pPr>
    </w:p>
    <w:p>
      <w:pPr>
        <w:pBdr>
          <w:bottom w:val="single" w:color="34D399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2. Paleta Completa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1426"/>
        <w:gridCol w:w="2000"/>
      </w:tblGrid>
      <w:tr>
        <w:trPr>
          <w:tblHeader/>
        </w:trP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9"/>
                <w:szCs w:val="19"/>
              </w:rPr>
              <w:t xml:space="preserve">Color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9"/>
                <w:szCs w:val="19"/>
              </w:rPr>
              <w:t xml:space="preserve">Nombre / HEX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9"/>
                <w:szCs w:val="19"/>
              </w:rPr>
              <w:t xml:space="preserve">RGB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9"/>
                <w:szCs w:val="19"/>
              </w:rPr>
              <w:t xml:space="preserve">Tag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9"/>
                <w:szCs w:val="19"/>
              </w:rPr>
              <w:t xml:space="preserve">Uso en CULTYRA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200"/>
              <w:left w:type="dxa" w:w="10"/>
              <w:bottom w:type="dxa" w:w="20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Deep Graphite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#111827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17 · 24 · 39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6"/>
                <w:szCs w:val="16"/>
              </w:rPr>
              <w:t xml:space="preserve">BASE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Fondo base de la app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200"/>
              <w:left w:type="dxa" w:w="10"/>
              <w:bottom w:type="dxa" w:w="20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Slate Dark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#1F2937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31 · 41 · 55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6"/>
                <w:szCs w:val="16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Superficie y paneles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200"/>
              <w:left w:type="dxa" w:w="10"/>
              <w:bottom w:type="dxa" w:w="20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Graphite Card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#1A2332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26 · 35 · 50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6"/>
                <w:szCs w:val="16"/>
              </w:rPr>
              <w:t xml:space="preserve">CARD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Tarjetas y modales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4D399" w:val="clear"/>
            <w:tcMar>
              <w:top w:type="dxa" w:w="200"/>
              <w:left w:type="dxa" w:w="10"/>
              <w:bottom w:type="dxa" w:w="20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Mint Glow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#34D399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52 · 211 · 153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Color de acento principal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EE7B7" w:val="clear"/>
            <w:tcMar>
              <w:top w:type="dxa" w:w="200"/>
              <w:left w:type="dxa" w:w="10"/>
              <w:bottom w:type="dxa" w:w="20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Emerald Soft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#6EE7B7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110 · 231 · 183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Acento secundario y texto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200"/>
              <w:left w:type="dxa" w:w="10"/>
              <w:bottom w:type="dxa" w:w="20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Mint Subtle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#D1FAE5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209 · 250 · 229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LIGHT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Fondos de chips y badges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200"/>
              <w:left w:type="dxa" w:w="10"/>
              <w:bottom w:type="dxa" w:w="20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White Soft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#F9FAFB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249 · 250 · 251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TEXT-PRIMARY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Texto principal sobre oscuro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CA3AF" w:val="clear"/>
            <w:tcMar>
              <w:top w:type="dxa" w:w="200"/>
              <w:left w:type="dxa" w:w="10"/>
              <w:bottom w:type="dxa" w:w="20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Gray Muted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#9CA3AF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156 · 163 · 175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TEXT-SECONDARY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Texto secundario y labels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200"/>
              <w:left w:type="dxa" w:w="10"/>
              <w:bottom w:type="dxa" w:w="20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Graphite Border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#374151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55 · 65 · 81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16"/>
                <w:szCs w:val="16"/>
              </w:rPr>
              <w:t xml:space="preserve">BORDER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Bordes de tarjetas y dividers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7171" w:val="clear"/>
            <w:tcMar>
              <w:top w:type="dxa" w:w="200"/>
              <w:left w:type="dxa" w:w="10"/>
              <w:bottom w:type="dxa" w:w="20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Error 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#F87171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248 · 113 · 113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ERROR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Errores y alertas críticas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BF24" w:val="clear"/>
            <w:tcMar>
              <w:top w:type="dxa" w:w="200"/>
              <w:left w:type="dxa" w:w="10"/>
              <w:bottom w:type="dxa" w:w="20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Warning Amber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#FBBF24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251 · 191 · 36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WARNING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Advertencias y prioridad alta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0A5FA" w:val="clear"/>
            <w:tcMar>
              <w:top w:type="dxa" w:w="200"/>
              <w:left w:type="dxa" w:w="10"/>
              <w:bottom w:type="dxa" w:w="200"/>
              <w:right w:type="dxa" w:w="1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Info Blue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374151"/>
                <w:sz w:val="19"/>
                <w:szCs w:val="19"/>
              </w:rPr>
              <w:t xml:space="preserve">#60A5FA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96 · 165 · 250</w:t>
            </w:r>
          </w:p>
        </w:tc>
        <w:tc>
          <w:tcPr>
            <w:tcW w:type="dxa" w:w="1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INFO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Datos de lluvia y clima</w:t>
            </w:r>
          </w:p>
        </w:tc>
      </w:tr>
    </w:tbl>
    <w:p>
      <w:r>
        <w:br w:type="page"/>
      </w:r>
    </w:p>
    <w:p>
      <w:pPr>
        <w:pBdr>
          <w:bottom w:val="single" w:color="34D399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3. Muestras de Color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6"/>
                <w:szCs w:val="26"/>
              </w:rPr>
              <w:t xml:space="preserve">Deep Graphite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9CA3AF"/>
                <w:sz w:val="22"/>
                <w:szCs w:val="22"/>
              </w:rPr>
              <w:t xml:space="preserve">#111827</w:t>
            </w:r>
          </w:p>
        </w:tc>
        <w:tc>
          <w:tcPr>
            <w:tcW w:type="dxa" w:w="30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F2937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6"/>
                <w:szCs w:val="26"/>
              </w:rPr>
              <w:t xml:space="preserve">Slate Dark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9CA3AF"/>
                <w:sz w:val="22"/>
                <w:szCs w:val="22"/>
              </w:rPr>
              <w:t xml:space="preserve">#1F2937</w:t>
            </w:r>
          </w:p>
        </w:tc>
        <w:tc>
          <w:tcPr>
            <w:tcW w:type="dxa" w:w="30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6"/>
                <w:szCs w:val="26"/>
              </w:rPr>
              <w:t xml:space="preserve">Graphite Card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9CA3AF"/>
                <w:sz w:val="22"/>
                <w:szCs w:val="22"/>
              </w:rPr>
              <w:t xml:space="preserve">#1A2332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4D399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Mint Glow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65F46"/>
                <w:sz w:val="22"/>
                <w:szCs w:val="22"/>
              </w:rPr>
              <w:t xml:space="preserve">#34D399</w:t>
            </w:r>
          </w:p>
        </w:tc>
        <w:tc>
          <w:tcPr>
            <w:tcW w:type="dxa" w:w="30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EE7B7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Emerald Soft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65F46"/>
                <w:sz w:val="22"/>
                <w:szCs w:val="22"/>
              </w:rPr>
              <w:t xml:space="preserve">#6EE7B7</w:t>
            </w:r>
          </w:p>
        </w:tc>
        <w:tc>
          <w:tcPr>
            <w:tcW w:type="dxa" w:w="30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Mint Subtle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065F46"/>
                <w:sz w:val="22"/>
                <w:szCs w:val="22"/>
              </w:rPr>
              <w:t xml:space="preserve">#D1FAE5</w:t>
            </w:r>
          </w:p>
        </w:tc>
      </w:tr>
    </w:tbl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7171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Error Red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F1D1D"/>
                <w:sz w:val="22"/>
                <w:szCs w:val="22"/>
              </w:rPr>
              <w:t xml:space="preserve">#F87171</w:t>
            </w:r>
          </w:p>
        </w:tc>
        <w:tc>
          <w:tcPr>
            <w:tcW w:type="dxa" w:w="30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BBF24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Warning Amber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78350F"/>
                <w:sz w:val="22"/>
                <w:szCs w:val="22"/>
              </w:rPr>
              <w:t xml:space="preserve">#FBBF24</w:t>
            </w:r>
          </w:p>
        </w:tc>
        <w:tc>
          <w:tcPr>
            <w:tcW w:type="dxa" w:w="3009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0A5FA" w:val="clear"/>
            <w:tcMar>
              <w:top w:type="dxa" w:w="400"/>
              <w:left w:type="dxa" w:w="200"/>
              <w:bottom w:type="dxa" w:w="40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6"/>
                <w:szCs w:val="26"/>
              </w:rPr>
              <w:t xml:space="preserve">Info Blue</w:t>
            </w:r>
          </w:p>
          <w:p>
            <w:pPr>
              <w:spacing w:after="0" w:before="0"/>
              <w:jc w:val="center"/>
            </w:pPr>
            <w:r>
              <w:rPr>
                <w:rFonts w:ascii="Courier New" w:cs="Courier New" w:eastAsia="Courier New" w:hAnsi="Courier New"/>
                <w:color w:val="1E3A5F"/>
                <w:sz w:val="22"/>
                <w:szCs w:val="22"/>
              </w:rPr>
              <w:t xml:space="preserve">#60A5FA</w:t>
            </w:r>
          </w:p>
        </w:tc>
      </w:tr>
    </w:tbl>
    <w:p>
      <w:r>
        <w:br w:type="page"/>
      </w:r>
    </w:p>
    <w:p>
      <w:pPr>
        <w:pBdr>
          <w:bottom w:val="single" w:color="34D399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4. Combinaciones en la App</w:t>
      </w:r>
    </w:p>
    <w:p>
      <w:pPr>
        <w:spacing w:after="200" w:before="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Estas son las combinaciones de color aprobadas para los distintos elementos de la interfaz de CULTYRA. Respetar estas combinaciones garantiza legibilidad y coherencia visual.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Elemento UI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Fondo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Texto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Dashboard principal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4D399"/>
                <w:sz w:val="16"/>
                <w:szCs w:val="16"/>
              </w:rPr>
              <w:t xml:space="preserve">#111827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4D39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6"/>
                <w:szCs w:val="16"/>
              </w:rPr>
              <w:t xml:space="preserve">#34D399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Fondo + acento en botones y números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Tarjeta de finca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233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34D399"/>
                <w:sz w:val="16"/>
                <w:szCs w:val="16"/>
              </w:rPr>
              <w:t xml:space="preserve">#1A2332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6EE7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6"/>
                <w:szCs w:val="16"/>
              </w:rPr>
              <w:t xml:space="preserve">#6EE7B7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Card + texto de subtítulo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Botón primario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4D39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6"/>
                <w:szCs w:val="16"/>
              </w:rPr>
              <w:t xml:space="preserve">#34D399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6"/>
                <w:szCs w:val="16"/>
              </w:rPr>
              <w:t xml:space="preserve">#111827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CTA principal de la app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Badge / Chip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6"/>
                <w:szCs w:val="16"/>
              </w:rPr>
              <w:t xml:space="preserve">#D1FAE5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6"/>
                <w:szCs w:val="16"/>
              </w:rPr>
              <w:t xml:space="preserve">#065F46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Tags de categoría y estado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Error en formulario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2F2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6"/>
                <w:szCs w:val="16"/>
              </w:rPr>
              <w:t xml:space="preserve">#FEF2F2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6"/>
                <w:szCs w:val="16"/>
              </w:rPr>
              <w:t xml:space="preserve">#DC2626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Mensajes de error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Alerta climática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BE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6"/>
                <w:szCs w:val="16"/>
              </w:rPr>
              <w:t xml:space="preserve">#FFFBEB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2400E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11827"/>
                <w:sz w:val="16"/>
                <w:szCs w:val="16"/>
              </w:rPr>
              <w:t xml:space="preserve">#92400E</w:t>
            </w:r>
          </w:p>
        </w:tc>
        <w:tc>
          <w:tcPr>
            <w:tcW w:type="dxa" w:w="4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Avisos de temperatura extrema</w:t>
            </w:r>
          </w:p>
        </w:tc>
      </w:tr>
    </w:tbl>
    <w:p>
      <w:pPr>
        <w:spacing w:after="200" w:before="0"/>
      </w:pPr>
    </w:p>
    <w:p>
      <w:pPr>
        <w:spacing w:after="200" w:before="0"/>
      </w:pPr>
    </w:p>
    <w:p>
      <w:pPr>
        <w:pBdr>
          <w:bottom w:val="single" w:color="34D399" w:sz="6" w:space="4"/>
        </w:pBdr>
        <w:spacing w:after="120" w:before="200"/>
      </w:pPr>
      <w:r>
        <w:rPr>
          <w:rFonts w:ascii="Arial" w:cs="Arial" w:eastAsia="Arial" w:hAnsi="Arial"/>
          <w:b/>
          <w:bCs/>
          <w:color w:val="111827"/>
          <w:sz w:val="36"/>
          <w:szCs w:val="36"/>
        </w:rPr>
        <w:t xml:space="preserve">5. Tipografías</w:t>
      </w:r>
    </w:p>
    <w:p>
      <w:pPr>
        <w:spacing w:after="2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226"/>
      </w:tblGrid>
      <w:tr>
        <w:trPr>
          <w:tblHeader/>
        </w:trP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Fuente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Muestra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Pesos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4D399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DM Sans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Principal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11827"/>
                <w:sz w:val="28"/>
                <w:szCs w:val="28"/>
              </w:rPr>
              <w:t xml:space="preserve">Aa Bb Cc 123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400 · 500 · 700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Texto general, botones, párrafos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Playfair Display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Títulos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8"/>
                <w:szCs w:val="28"/>
              </w:rPr>
              <w:t xml:space="preserve">Gestión de Fincas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700 · 800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H1, H2 de secciones principales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2"/>
                <w:szCs w:val="22"/>
              </w:rPr>
              <w:t xml:space="preserve">Space Mono</w:t>
            </w:r>
          </w:p>
          <w:p>
            <w:r>
              <w:rPr>
                <w:rFonts w:ascii="Arial" w:cs="Arial" w:eastAsia="Arial" w:hAnsi="Arial"/>
                <w:color w:val="9CA3AF"/>
                <w:sz w:val="18"/>
                <w:szCs w:val="18"/>
              </w:rPr>
              <w:t xml:space="preserve">Código / Datos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34D399"/>
                <w:sz w:val="24"/>
                <w:szCs w:val="24"/>
              </w:rPr>
              <w:t xml:space="preserve">#34D399  |  22°C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400</w:t>
            </w:r>
          </w:p>
        </w:tc>
        <w:tc>
          <w:tcPr>
            <w:tcW w:type="dxa" w:w="22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HEX codes, tags, labels de datos</w:t>
            </w:r>
          </w:p>
        </w:tc>
      </w:tr>
    </w:tbl>
    <w:p>
      <w:pPr>
        <w:spacing w:after="200" w:before="0"/>
      </w:pPr>
    </w:p>
    <w:p>
      <w:pPr>
        <w:spacing w:after="200" w:before="0"/>
      </w:pPr>
    </w:p>
    <w:p>
      <w:pPr>
        <w:pBdr>
          <w:top w:val="single" w:color="34D399" w:sz="4" w:space="8"/>
        </w:pBdr>
        <w:spacing w:after="0" w:before="40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© 2026 CULTYRA — Tecnología que cultiva el futuro  ·  CTP José Figueres Ferrer  ·  CORVEC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2026-06-29T13:20:14.168Z</dcterms:created>
  <dcterms:modified xsi:type="dcterms:W3CDTF">2026-06-29T13:20:14.183Z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