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E9B44C" w:sz="18" w:space="6"/>
        </w:pBdr>
        <w:spacing w:after="60" w:before="200"/>
      </w:pPr>
      <w:r>
        <w:rPr>
          <w:rFonts w:ascii="Arial" w:cs="Arial" w:eastAsia="Arial" w:hAnsi="Arial"/>
          <w:b/>
          <w:bCs/>
          <w:color w:val="5B6B63"/>
          <w:sz w:val="20"/>
          <w:szCs w:val="20"/>
        </w:rPr>
        <w:t xml:space="preserve">PROJET « DALOKEUR » (NOM DE TRAVAIL)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B4D"/>
          <w:sz w:val="44"/>
          <w:szCs w:val="44"/>
        </w:rPr>
        <w:t xml:space="preserve">Recherche de marché préliminaire et guides d’entretien terrain</w:t>
      </w:r>
    </w:p>
    <w:p>
      <w:pPr>
        <w:keepLines/>
        <w:spacing w:after="200" w:before="0" w:line="276"/>
      </w:pPr>
      <w:r>
        <w:rPr>
          <w:rFonts w:ascii="Arial" w:cs="Arial" w:eastAsia="Arial" w:hAnsi="Arial"/>
          <w:color w:val="5B6B63"/>
          <w:sz w:val="21"/>
          <w:szCs w:val="21"/>
        </w:rPr>
        <w:t xml:space="preserve">Version 1.0 · 21 octobre 2026 · Document de travail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CF7F2" w:sz="2"/>
              <w:left w:val="single" w:color="0F6B4D" w:sz="24"/>
              <w:bottom w:val="single" w:color="ECF7F2" w:sz="2"/>
              <w:right w:val="single" w:color="ECF7F2" w:sz="2"/>
            </w:tcBorders>
            <w:shd w:fill="ECF7F2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0F6B4D"/>
                <w:sz w:val="21"/>
                <w:szCs w:val="21"/>
              </w:rPr>
              <w:t xml:space="preserve">Comment lire ce document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color w:val="1D2A24"/>
                <w:sz w:val="20"/>
                <w:szCs w:val="20"/>
              </w:rPr>
              <w:t xml:space="preserve">La recherche web a été faite le 21 octobre 2026. Chaque information est classée : </w:t>
            </w:r>
            <w:r>
              <w:rPr>
                <w:rFonts w:ascii="Arial" w:cs="Arial" w:eastAsia="Arial" w:hAnsi="Arial"/>
                <w:b/>
                <w:bCs/>
                <w:color w:val="1D2A24"/>
                <w:sz w:val="20"/>
                <w:szCs w:val="20"/>
              </w:rPr>
              <w:t xml:space="preserve">fait sourcé</w:t>
            </w:r>
            <w:r>
              <w:rPr>
                <w:rFonts w:ascii="Arial" w:cs="Arial" w:eastAsia="Arial" w:hAnsi="Arial"/>
                <w:color w:val="1D2A24"/>
                <w:sz w:val="20"/>
                <w:szCs w:val="20"/>
              </w:rPr>
              <w:t xml:space="preserve"> (source officielle ou presse identifiée), </w:t>
            </w:r>
            <w:r>
              <w:rPr>
                <w:rFonts w:ascii="Arial" w:cs="Arial" w:eastAsia="Arial" w:hAnsi="Arial"/>
                <w:b/>
                <w:bCs/>
                <w:color w:val="1D2A24"/>
                <w:sz w:val="20"/>
                <w:szCs w:val="20"/>
              </w:rPr>
              <w:t xml:space="preserve">à vérifier</w:t>
            </w:r>
            <w:r>
              <w:rPr>
                <w:rFonts w:ascii="Arial" w:cs="Arial" w:eastAsia="Arial" w:hAnsi="Arial"/>
                <w:color w:val="1D2A24"/>
                <w:sz w:val="20"/>
                <w:szCs w:val="20"/>
              </w:rPr>
              <w:t xml:space="preserve"> (source unique, commerciale ou contradictoire) ou </w:t>
            </w:r>
            <w:r>
              <w:rPr>
                <w:rFonts w:ascii="Arial" w:cs="Arial" w:eastAsia="Arial" w:hAnsi="Arial"/>
                <w:b/>
                <w:bCs/>
                <w:color w:val="1D2A24"/>
                <w:sz w:val="20"/>
                <w:szCs w:val="20"/>
              </w:rPr>
              <w:t xml:space="preserve">non trouvé</w:t>
            </w:r>
            <w:r>
              <w:rPr>
                <w:rFonts w:ascii="Arial" w:cs="Arial" w:eastAsia="Arial" w:hAnsi="Arial"/>
                <w:color w:val="1D2A24"/>
                <w:sz w:val="20"/>
                <w:szCs w:val="20"/>
              </w:rPr>
              <w:t xml:space="preserve">.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color w:val="1D2A2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D2A24"/>
                <w:sz w:val="20"/>
                <w:szCs w:val="20"/>
              </w:rPr>
              <w:t xml:space="preserve">Aucune estimation de marché n’est produite ici.</w:t>
            </w:r>
            <w:r>
              <w:rPr>
                <w:rFonts w:ascii="Arial" w:cs="Arial" w:eastAsia="Arial" w:hAnsi="Arial"/>
                <w:color w:val="1D2A24"/>
                <w:sz w:val="20"/>
                <w:szCs w:val="20"/>
              </w:rPr>
              <w:t xml:space="preserve"> Les sources trouvées ne permettent pas de calculer sérieusement la demande de services à domicile à Dakar. C’est le rôle des entretiens de la partie 3.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color w:val="1D2A24"/>
                <w:sz w:val="20"/>
                <w:szCs w:val="20"/>
              </w:rPr>
              <w:t xml:space="preserve">Les articles du blog d’un éditeur de logiciels (Kolonell) donnent beaucoup de chiffres, mais il vend ces services et les articles se contredisent entre eux : </w:t>
            </w:r>
            <w:r>
              <w:rPr>
                <w:rFonts w:ascii="Arial" w:cs="Arial" w:eastAsia="Arial" w:hAnsi="Arial"/>
                <w:b/>
                <w:bCs/>
                <w:color w:val="1D2A24"/>
                <w:sz w:val="20"/>
                <w:szCs w:val="20"/>
              </w:rPr>
              <w:t xml:space="preserve">je ne les utilise pas comme preuves</w:t>
            </w:r>
            <w:r>
              <w:rPr>
                <w:rFonts w:ascii="Arial" w:cs="Arial" w:eastAsia="Arial" w:hAnsi="Arial"/>
                <w:color w:val="1D2A24"/>
                <w:sz w:val="20"/>
                <w:szCs w:val="20"/>
              </w:rPr>
              <w:t xml:space="preserve">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1. Ce que la recherche établit</w:t>
      </w:r>
    </w:p>
    <w:p>
      <w:pPr>
        <w:pStyle w:val="Heading2"/>
      </w:pPr>
      <w:r>
        <w:rPr>
          <w:rFonts w:ascii="Arial" w:cs="Arial" w:eastAsia="Arial" w:hAnsi="Arial"/>
        </w:rPr>
        <w:t xml:space="preserve">1.1 Contexte démographique et numérique (faits sourcés)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4047"/>
        <w:gridCol w:w="1737"/>
      </w:tblGrid>
      <w:tr>
        <w:trPr>
          <w:cantSplit/>
          <w:tblHeader/>
        </w:trPr>
        <w:tc>
          <w:tcPr>
            <w:tcW w:type="dxa" w:w="1927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0F6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Donnée</w:t>
            </w:r>
          </w:p>
        </w:tc>
        <w:tc>
          <w:tcPr>
            <w:tcW w:type="dxa" w:w="1927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0F6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Valeur</w:t>
            </w:r>
          </w:p>
        </w:tc>
        <w:tc>
          <w:tcPr>
            <w:tcW w:type="dxa" w:w="4047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0F6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 et remarque</w:t>
            </w:r>
          </w:p>
        </w:tc>
        <w:tc>
          <w:tcPr>
            <w:tcW w:type="dxa" w:w="1737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0F6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ECF7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color w:val="1D2A24"/>
                <w:sz w:val="16"/>
                <w:szCs w:val="16"/>
              </w:rPr>
              <w:t xml:space="preserve">Population du Sénégal, 2023</w:t>
            </w:r>
          </w:p>
        </w:tc>
        <w:tc>
          <w:tcPr>
            <w:tcW w:type="dxa" w:w="1927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 w:val="false"/>
                <w:bCs w:val="false"/>
                <w:color w:val="1D2A24"/>
                <w:sz w:val="16"/>
                <w:szCs w:val="16"/>
              </w:rPr>
              <w:t xml:space="preserve">18 126 390 habitants</w:t>
            </w:r>
          </w:p>
        </w:tc>
        <w:tc>
          <w:tcPr>
            <w:tcW w:type="dxa" w:w="4047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 w:val="false"/>
                <w:bCs w:val="false"/>
                <w:color w:val="1D2A24"/>
                <w:sz w:val="16"/>
                <w:szCs w:val="16"/>
              </w:rPr>
              <w:t xml:space="preserve">ANSD, 5e recensement (RGPH-5), résultats provisoires publiés en juillet 2024. Population urbaine : 54,7 %.</w:t>
            </w:r>
          </w:p>
        </w:tc>
        <w:tc>
          <w:tcPr>
            <w:tcW w:type="dxa" w:w="1737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 w:val="false"/>
                <w:bCs w:val="false"/>
                <w:color w:val="1D2A24"/>
                <w:sz w:val="16"/>
                <w:szCs w:val="16"/>
              </w:rPr>
              <w:t xml:space="preserve">Fait sourcé (provisoire)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ECF7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color w:val="1D2A24"/>
                <w:sz w:val="16"/>
                <w:szCs w:val="16"/>
              </w:rPr>
              <w:t xml:space="preserve">Région de Dakar</w:t>
            </w:r>
          </w:p>
        </w:tc>
        <w:tc>
          <w:tcPr>
            <w:tcW w:type="dxa" w:w="1927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 w:val="false"/>
                <w:bCs w:val="false"/>
                <w:color w:val="1D2A24"/>
                <w:sz w:val="16"/>
                <w:szCs w:val="16"/>
              </w:rPr>
              <w:t xml:space="preserve">≈ 4 004 427 habitants</w:t>
            </w:r>
          </w:p>
        </w:tc>
        <w:tc>
          <w:tcPr>
            <w:tcW w:type="dxa" w:w="4047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 w:val="false"/>
                <w:bCs w:val="false"/>
                <w:color w:val="1D2A24"/>
                <w:sz w:val="16"/>
                <w:szCs w:val="16"/>
              </w:rPr>
              <w:t xml:space="preserve">RGPH-5 2023 d’après vie-publique.sn. Dakar : 1 278 469 ; Keur Massar : 770 314 ; Rufisque : 818 337 ; Guédiawaye : 372 708.</w:t>
            </w:r>
          </w:p>
        </w:tc>
        <w:tc>
          <w:tcPr>
            <w:tcW w:type="dxa" w:w="1737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 w:val="false"/>
                <w:bCs w:val="false"/>
                <w:color w:val="1D2A24"/>
                <w:sz w:val="16"/>
                <w:szCs w:val="16"/>
              </w:rPr>
              <w:t xml:space="preserve">Fait sourcé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ECF7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color w:val="1D2A24"/>
                <w:sz w:val="16"/>
                <w:szCs w:val="16"/>
              </w:rPr>
              <w:t xml:space="preserve">Département de Pikine</w:t>
            </w:r>
          </w:p>
        </w:tc>
        <w:tc>
          <w:tcPr>
            <w:tcW w:type="dxa" w:w="1927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 w:val="false"/>
                <w:bCs w:val="false"/>
                <w:color w:val="1D2A24"/>
                <w:sz w:val="16"/>
                <w:szCs w:val="16"/>
              </w:rPr>
              <w:t xml:space="preserve">≈ 758 554 à 764 597 habitants</w:t>
            </w:r>
          </w:p>
        </w:tc>
        <w:tc>
          <w:tcPr>
            <w:tcW w:type="dxa" w:w="4047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 w:val="false"/>
                <w:bCs w:val="false"/>
                <w:color w:val="1D2A24"/>
                <w:sz w:val="16"/>
                <w:szCs w:val="16"/>
              </w:rPr>
              <w:t xml:space="preserve">Deux sources, écart d’environ 6 000 (nombre de communes pris en compte). Le rapport ANSD donne le chiffre exact.</w:t>
            </w:r>
          </w:p>
        </w:tc>
        <w:tc>
          <w:tcPr>
            <w:tcW w:type="dxa" w:w="1737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 w:val="false"/>
                <w:bCs w:val="false"/>
                <w:color w:val="1D2A24"/>
                <w:sz w:val="16"/>
                <w:szCs w:val="16"/>
              </w:rPr>
              <w:t xml:space="preserve">À vérifier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ECF7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color w:val="1D2A24"/>
                <w:sz w:val="16"/>
                <w:szCs w:val="16"/>
              </w:rPr>
              <w:t xml:space="preserve">Utilisateurs d’internet, début 2025</w:t>
            </w:r>
          </w:p>
        </w:tc>
        <w:tc>
          <w:tcPr>
            <w:tcW w:type="dxa" w:w="1927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 w:val="false"/>
                <w:bCs w:val="false"/>
                <w:color w:val="1D2A24"/>
                <w:sz w:val="16"/>
                <w:szCs w:val="16"/>
              </w:rPr>
              <w:t xml:space="preserve">11,3 millions (60,6 % de la population)</w:t>
            </w:r>
          </w:p>
        </w:tc>
        <w:tc>
          <w:tcPr>
            <w:tcW w:type="dxa" w:w="4047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 w:val="false"/>
                <w:bCs w:val="false"/>
                <w:color w:val="1D2A24"/>
                <w:sz w:val="16"/>
                <w:szCs w:val="16"/>
              </w:rPr>
              <w:t xml:space="preserve">DataReportal « Digital 2025: Senegal ». Édition 2026 : 11,5 millions, 60,6 %.</w:t>
            </w:r>
          </w:p>
        </w:tc>
        <w:tc>
          <w:tcPr>
            <w:tcW w:type="dxa" w:w="1737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 w:val="false"/>
                <w:bCs w:val="false"/>
                <w:color w:val="1D2A24"/>
                <w:sz w:val="16"/>
                <w:szCs w:val="16"/>
              </w:rPr>
              <w:t xml:space="preserve">Fait sourcé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ECF7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color w:val="1D2A24"/>
                <w:sz w:val="16"/>
                <w:szCs w:val="16"/>
              </w:rPr>
              <w:t xml:space="preserve">Connexions mobiles</w:t>
            </w:r>
          </w:p>
        </w:tc>
        <w:tc>
          <w:tcPr>
            <w:tcW w:type="dxa" w:w="1927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 w:val="false"/>
                <w:bCs w:val="false"/>
                <w:color w:val="1D2A24"/>
                <w:sz w:val="16"/>
                <w:szCs w:val="16"/>
              </w:rPr>
              <w:t xml:space="preserve">22,7 millions (121 % de la population)</w:t>
            </w:r>
          </w:p>
        </w:tc>
        <w:tc>
          <w:tcPr>
            <w:tcW w:type="dxa" w:w="4047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 w:val="false"/>
                <w:bCs w:val="false"/>
                <w:color w:val="1D2A24"/>
                <w:sz w:val="16"/>
                <w:szCs w:val="16"/>
              </w:rPr>
              <w:t xml:space="preserve">DataReportal 2025. Une même personne peut avoir plusieurs cartes SIM : ce n’est pas un nombre de personnes.</w:t>
            </w:r>
          </w:p>
        </w:tc>
        <w:tc>
          <w:tcPr>
            <w:tcW w:type="dxa" w:w="1737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 w:val="false"/>
                <w:bCs w:val="false"/>
                <w:color w:val="1D2A24"/>
                <w:sz w:val="16"/>
                <w:szCs w:val="16"/>
              </w:rPr>
              <w:t xml:space="preserve">Fait sourcé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ECF7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color w:val="1D2A24"/>
                <w:sz w:val="16"/>
                <w:szCs w:val="16"/>
              </w:rPr>
              <w:t xml:space="preserve">Utilisateurs de réseaux sociaux</w:t>
            </w:r>
          </w:p>
        </w:tc>
        <w:tc>
          <w:tcPr>
            <w:tcW w:type="dxa" w:w="1927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 w:val="false"/>
                <w:bCs w:val="false"/>
                <w:color w:val="1D2A24"/>
                <w:sz w:val="16"/>
                <w:szCs w:val="16"/>
              </w:rPr>
              <w:t xml:space="preserve">5,0 millions (26,8 %)</w:t>
            </w:r>
          </w:p>
        </w:tc>
        <w:tc>
          <w:tcPr>
            <w:tcW w:type="dxa" w:w="4047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 w:val="false"/>
                <w:bCs w:val="false"/>
                <w:color w:val="1D2A24"/>
                <w:sz w:val="16"/>
                <w:szCs w:val="16"/>
              </w:rPr>
              <w:t xml:space="preserve">DataReportal 2025 ; la méthode a changé, les années ne sont pas comparables.</w:t>
            </w:r>
          </w:p>
        </w:tc>
        <w:tc>
          <w:tcPr>
            <w:tcW w:type="dxa" w:w="1737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 w:val="false"/>
                <w:bCs w:val="false"/>
                <w:color w:val="1D2A24"/>
                <w:sz w:val="16"/>
                <w:szCs w:val="16"/>
              </w:rPr>
              <w:t xml:space="preserve">Fait sourcé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ECF7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color w:val="1D2A24"/>
                <w:sz w:val="16"/>
                <w:szCs w:val="16"/>
              </w:rPr>
              <w:t xml:space="preserve">Part de l’emploi informel non agricole</w:t>
            </w:r>
          </w:p>
        </w:tc>
        <w:tc>
          <w:tcPr>
            <w:tcW w:type="dxa" w:w="1927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 w:val="false"/>
                <w:bCs w:val="false"/>
                <w:color w:val="1D2A24"/>
                <w:sz w:val="16"/>
                <w:szCs w:val="16"/>
              </w:rPr>
              <w:t xml:space="preserve">96,4 % des emplois</w:t>
            </w:r>
          </w:p>
        </w:tc>
        <w:tc>
          <w:tcPr>
            <w:tcW w:type="dxa" w:w="4047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 w:val="false"/>
                <w:bCs w:val="false"/>
                <w:color w:val="1D2A24"/>
                <w:sz w:val="16"/>
                <w:szCs w:val="16"/>
              </w:rPr>
              <w:t xml:space="preserve">ANSD, enquête ERI-ESI 2017 (la plus récente trouvée). Aucune part « artisans » isolée.</w:t>
            </w:r>
          </w:p>
        </w:tc>
        <w:tc>
          <w:tcPr>
            <w:tcW w:type="dxa" w:w="1737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 w:val="false"/>
                <w:bCs w:val="false"/>
                <w:color w:val="1D2A24"/>
                <w:sz w:val="16"/>
                <w:szCs w:val="16"/>
              </w:rPr>
              <w:t xml:space="preserve">Fait sourcé (2017)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ECF7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color w:val="1D2A24"/>
                <w:sz w:val="16"/>
                <w:szCs w:val="16"/>
              </w:rPr>
              <w:t xml:space="preserve">Monnaie mobile (Wave, Orange Money)</w:t>
            </w:r>
          </w:p>
        </w:tc>
        <w:tc>
          <w:tcPr>
            <w:tcW w:type="dxa" w:w="1927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 w:val="false"/>
                <w:bCs w:val="false"/>
                <w:color w:val="1D2A24"/>
                <w:sz w:val="16"/>
                <w:szCs w:val="16"/>
              </w:rPr>
              <w:t xml:space="preserve">Wave : ≈ 11 millions de clients (7,18 millions réguliers)</w:t>
            </w:r>
          </w:p>
        </w:tc>
        <w:tc>
          <w:tcPr>
            <w:tcW w:type="dxa" w:w="4047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 w:val="false"/>
                <w:bCs w:val="false"/>
                <w:color w:val="1D2A24"/>
                <w:sz w:val="16"/>
                <w:szCs w:val="16"/>
              </w:rPr>
              <w:t xml:space="preserve">Article de presse 2026, sans attribution claire à la BCEAO. Chiffres BCEAO trouvés = régionaux (UEMOA) seulement.</w:t>
            </w:r>
          </w:p>
        </w:tc>
        <w:tc>
          <w:tcPr>
            <w:tcW w:type="dxa" w:w="1737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 w:val="false"/>
                <w:bCs w:val="false"/>
                <w:color w:val="1D2A24"/>
                <w:sz w:val="16"/>
                <w:szCs w:val="16"/>
              </w:rPr>
              <w:t xml:space="preserve">À vérifier</w:t>
            </w:r>
          </w:p>
        </w:tc>
      </w:tr>
    </w:tbl>
    <w:p>
      <w:pPr>
        <w:spacing w:after="60"/>
      </w:pPr>
    </w:p>
    <w:p>
      <w:pPr>
        <w:keepLines/>
        <w:spacing w:after="110" w:before="0" w:line="276"/>
      </w:pPr>
      <w:r>
        <w:rPr>
          <w:rFonts w:ascii="Arial" w:cs="Arial" w:eastAsia="Arial" w:hAnsi="Arial"/>
          <w:color w:val="1D2A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D2A24"/>
          <w:sz w:val="20"/>
          <w:szCs w:val="20"/>
        </w:rPr>
        <w:t xml:space="preserve">Ce que cela dit, et ne dit pas.</w:t>
      </w:r>
      <w:r>
        <w:rPr>
          <w:rFonts w:ascii="Arial" w:cs="Arial" w:eastAsia="Arial" w:hAnsi="Arial"/>
          <w:color w:val="1D2A24"/>
          <w:sz w:val="20"/>
          <w:szCs w:val="20"/>
        </w:rPr>
        <w:t xml:space="preserve"> La zone cible est dense et très connectée. Mais cela ne prouve ni que les ménages cherchent un prestataire en ligne, ni qu’ils paieraient un intermédiaire. L’internet « mobile » concerne environ 6 personnes sur 10, donc </w:t>
      </w:r>
      <w:r>
        <w:rPr>
          <w:rFonts w:ascii="Arial" w:cs="Arial" w:eastAsia="Arial" w:hAnsi="Arial"/>
          <w:b/>
          <w:bCs/>
          <w:color w:val="1D2A24"/>
          <w:sz w:val="20"/>
          <w:szCs w:val="20"/>
        </w:rPr>
        <w:t xml:space="preserve">une partie de la clientèle visée est hors de portée d’une application</w:t>
      </w:r>
      <w:r>
        <w:rPr>
          <w:rFonts w:ascii="Arial" w:cs="Arial" w:eastAsia="Arial" w:hAnsi="Arial"/>
          <w:color w:val="1D2A24"/>
          <w:sz w:val="20"/>
          <w:szCs w:val="20"/>
        </w:rPr>
        <w:t xml:space="preserve"> : un canal WhatsApp ou téléphone reste indispensable.</w:t>
      </w:r>
    </w:p>
    <w:p>
      <w:pPr>
        <w:pStyle w:val="Heading2"/>
      </w:pPr>
      <w:r>
        <w:rPr>
          <w:rFonts w:ascii="Arial" w:cs="Arial" w:eastAsia="Arial" w:hAnsi="Arial"/>
        </w:rPr>
        <w:t xml:space="preserve">1.2 Solutions existantes à Dakar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4240"/>
        <w:gridCol w:w="1638"/>
        <w:gridCol w:w="1640"/>
      </w:tblGrid>
      <w:tr>
        <w:trPr>
          <w:cantSplit/>
          <w:tblHeader/>
        </w:trPr>
        <w:tc>
          <w:tcPr>
            <w:tcW w:type="dxa" w:w="2120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0F6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Alternative</w:t>
            </w:r>
          </w:p>
        </w:tc>
        <w:tc>
          <w:tcPr>
            <w:tcW w:type="dxa" w:w="4240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0F6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Ce que l’on sait</w:t>
            </w:r>
          </w:p>
        </w:tc>
        <w:tc>
          <w:tcPr>
            <w:tcW w:type="dxa" w:w="1638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0F6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  <w:tc>
          <w:tcPr>
            <w:tcW w:type="dxa" w:w="1640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0F6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Statut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D2A24"/>
                <w:sz w:val="16"/>
                <w:szCs w:val="16"/>
              </w:rPr>
              <w:t xml:space="preserve">Niafey</w:t>
            </w: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 (services à domicile)</w:t>
            </w:r>
          </w:p>
        </w:tc>
        <w:tc>
          <w:tcPr>
            <w:tcW w:type="dxa" w:w="4240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Application basée à Dakar : réservation de nounous, coiffeurs, plombiers, menuisiers, électriciens, chauffeurs. Présente sur Play Store et App Store. Le fondateur indique que le secteur est très informel. Stade, taille, prix : non connus.</w:t>
            </w:r>
          </w:p>
        </w:tc>
        <w:tc>
          <w:tcPr>
            <w:tcW w:type="dxa" w:w="1638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Fiche VC4A</w:t>
            </w:r>
          </w:p>
        </w:tc>
        <w:tc>
          <w:tcPr>
            <w:tcW w:type="dxa" w:w="1640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Existe (fiche) ; reste à vérifier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D2A24"/>
                <w:sz w:val="16"/>
                <w:szCs w:val="16"/>
              </w:rPr>
              <w:t xml:space="preserve">Bridger</w:t>
            </w: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/>
            </w:r>
          </w:p>
        </w:tc>
        <w:tc>
          <w:tcPr>
            <w:tcW w:type="dxa" w:w="4240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Fiche App Store : application de réservation de services à la demande (nettoyage, plomberie, électricité) « partout au Sénégal ». Aucune source indépendante, aucune note d’utilisateurs.</w:t>
            </w:r>
          </w:p>
        </w:tc>
        <w:tc>
          <w:tcPr>
            <w:tcW w:type="dxa" w:w="1638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Fiche App Store</w:t>
            </w:r>
          </w:p>
        </w:tc>
        <w:tc>
          <w:tcPr>
            <w:tcW w:type="dxa" w:w="1640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À vérifier : tester l’application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D2A24"/>
                <w:sz w:val="16"/>
                <w:szCs w:val="16"/>
              </w:rPr>
              <w:t xml:space="preserve">Yango Delivery</w:t>
            </w: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 (livraison)</w:t>
            </w:r>
          </w:p>
        </w:tc>
        <w:tc>
          <w:tcPr>
            <w:tcW w:type="dxa" w:w="4240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Express Moto et Express Voiture pour colis urgents, Yango Cargo pour colis volumineux, à Dakar. Cargo : tarifs à partir de 3 500 FCFA ; environ 15 % des utilisateurs de Cargo sont des PME (déclaration de l’entreprise). Date de lancement : contradictoire selon les sources (2022 ou novembre 2025).</w:t>
            </w:r>
          </w:p>
        </w:tc>
        <w:tc>
          <w:tcPr>
            <w:tcW w:type="dxa" w:w="1638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Dakaractu ; Osiris ; Senego</w:t>
            </w:r>
          </w:p>
        </w:tc>
        <w:tc>
          <w:tcPr>
            <w:tcW w:type="dxa" w:w="1640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Existe (presse) ; date et prix actuels à vérifier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D2A24"/>
                <w:sz w:val="16"/>
                <w:szCs w:val="16"/>
              </w:rPr>
              <w:t xml:space="preserve">Glovo, Jumia Food</w:t>
            </w: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 (repas)</w:t>
            </w:r>
          </w:p>
        </w:tc>
        <w:tc>
          <w:tcPr>
            <w:tcW w:type="dxa" w:w="4240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Sources contradictoires sur les dates, la fermeture ou la relance. Hors périmètre de lancement (repas), mais ils montrent les habitudes de commande.</w:t>
            </w:r>
          </w:p>
        </w:tc>
        <w:tc>
          <w:tcPr>
            <w:tcW w:type="dxa" w:w="1638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Blogs divers</w:t>
            </w:r>
          </w:p>
        </w:tc>
        <w:tc>
          <w:tcPr>
            <w:tcW w:type="dxa" w:w="1640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À vérifier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D2A24"/>
                <w:sz w:val="16"/>
                <w:szCs w:val="16"/>
              </w:rPr>
              <w:t xml:space="preserve">Pressings et blanchisseries</w:t>
            </w: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/>
            </w:r>
          </w:p>
        </w:tc>
        <w:tc>
          <w:tcPr>
            <w:tcW w:type="dxa" w:w="4240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Annuaires (GoAfrica) recensant les pressings au Sénégal. Une application de pressing à domicile (Klean Africa) apparaît dans une boutique d’applications ; disponibilité à Dakar non vérifiée.</w:t>
            </w:r>
          </w:p>
        </w:tc>
        <w:tc>
          <w:tcPr>
            <w:tcW w:type="dxa" w:w="1638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GoAfrica ; fiche d’application</w:t>
            </w:r>
          </w:p>
        </w:tc>
        <w:tc>
          <w:tcPr>
            <w:tcW w:type="dxa" w:w="1640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À vérifier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D2A24"/>
                <w:sz w:val="16"/>
                <w:szCs w:val="16"/>
              </w:rPr>
              <w:t xml:space="preserve">Bouche-à-oreille, artisans habituels, groupes WhatsApp et Facebook</w:t>
            </w: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/>
            </w:r>
          </w:p>
        </w:tc>
        <w:tc>
          <w:tcPr>
            <w:tcW w:type="dxa" w:w="4240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Probablement l’alternative dominante, mais </w:t>
            </w:r>
            <w:r>
              <w:rPr>
                <w:rFonts w:ascii="Arial" w:cs="Arial" w:eastAsia="Arial" w:hAnsi="Arial"/>
                <w:b/>
                <w:bCs/>
                <w:color w:val="1D2A24"/>
                <w:sz w:val="16"/>
                <w:szCs w:val="16"/>
              </w:rPr>
              <w:t xml:space="preserve">aucune donnée trouvée</w:t>
            </w: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 sur sa part ni sur les prix.</w:t>
            </w:r>
          </w:p>
        </w:tc>
        <w:tc>
          <w:tcPr>
            <w:tcW w:type="dxa" w:w="1638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Aucune</w:t>
            </w:r>
          </w:p>
        </w:tc>
        <w:tc>
          <w:tcPr>
            <w:tcW w:type="dxa" w:w="1640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Non trouvé : à mesurer par entretiens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BEFD0" w:sz="2"/>
              <w:left w:val="single" w:color="B87D0F" w:sz="24"/>
              <w:bottom w:val="single" w:color="FBEFD0" w:sz="2"/>
              <w:right w:val="single" w:color="FBEFD0" w:sz="2"/>
            </w:tcBorders>
            <w:shd w:fill="FBEFD0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7A5200"/>
                <w:sz w:val="21"/>
                <w:szCs w:val="21"/>
              </w:rPr>
              <w:t xml:space="preserve">Constat important pour les associés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color w:val="1D2A24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D2A24"/>
                <w:sz w:val="20"/>
                <w:szCs w:val="20"/>
              </w:rPr>
              <w:t xml:space="preserve">Le marché n’est pas vide.</w:t>
            </w:r>
            <w:r>
              <w:rPr>
                <w:rFonts w:ascii="Arial" w:cs="Arial" w:eastAsia="Arial" w:hAnsi="Arial"/>
                <w:color w:val="1D2A24"/>
                <w:sz w:val="20"/>
                <w:szCs w:val="20"/>
              </w:rPr>
              <w:t xml:space="preserve"> Au moins une application de services à domicile basée à Dakar (Niafey) et une autre annoncée au Sénégal (Bridger) existent. Elles ne prouvent pas que le modèle fonctionne ; leur situation réelle (nombre de clients, prestataires, revenus, éventuels arrêts) est inconnue.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color w:val="1D2A24"/>
                <w:sz w:val="20"/>
                <w:szCs w:val="20"/>
              </w:rPr>
              <w:t xml:space="preserve">Le dossier de présentation v1.0 ne comparait pas le projet à ces acteurs. </w:t>
            </w:r>
            <w:r>
              <w:rPr>
                <w:rFonts w:ascii="Arial" w:cs="Arial" w:eastAsia="Arial" w:hAnsi="Arial"/>
                <w:b/>
                <w:bCs/>
                <w:color w:val="1D2A24"/>
                <w:sz w:val="20"/>
                <w:szCs w:val="20"/>
              </w:rPr>
              <w:t xml:space="preserve">Cette comparaison doit être ajoutée avant toute présentation aux associés.</w:t>
            </w:r>
            <w:r>
              <w:rPr>
                <w:rFonts w:ascii="Arial" w:cs="Arial" w:eastAsia="Arial" w:hAnsi="Arial"/>
                <w:color w:val="1D2A24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1.3 Prix pratiqués : aucune donnée fiable</w:t>
      </w:r>
    </w:p>
    <w:p>
      <w:pPr>
        <w:keepLines/>
        <w:spacing w:after="110" w:before="0" w:line="276"/>
      </w:pPr>
      <w:r>
        <w:rPr>
          <w:rFonts w:ascii="Arial" w:cs="Arial" w:eastAsia="Arial" w:hAnsi="Arial"/>
          <w:color w:val="1D2A24"/>
          <w:sz w:val="20"/>
          <w:szCs w:val="20"/>
        </w:rPr>
        <w:t xml:space="preserve">Aucune source indépendante n’a été trouvée sur les prix réels d’un dépannage, d’un pressing ou d’une course à Dakar. Les montants des blogs d’éditeurs ne sont pas retenus. Seul le tarif d’entrée de Yango Cargo (3 500 FCFA) est cité par la presse, comme déclaration de l’entreprise. </w:t>
      </w:r>
      <w:r>
        <w:rPr>
          <w:rFonts w:ascii="Arial" w:cs="Arial" w:eastAsia="Arial" w:hAnsi="Arial"/>
          <w:b/>
          <w:bCs/>
          <w:color w:val="1D2A24"/>
          <w:sz w:val="20"/>
          <w:szCs w:val="20"/>
        </w:rPr>
        <w:t xml:space="preserve">Les prix seront relevés pendant les entretiens et par appels « client mystère »</w:t>
      </w:r>
      <w:r>
        <w:rPr>
          <w:rFonts w:ascii="Arial" w:cs="Arial" w:eastAsia="Arial" w:hAnsi="Arial"/>
          <w:color w:val="1D2A24"/>
          <w:sz w:val="20"/>
          <w:szCs w:val="20"/>
        </w:rPr>
        <w:t xml:space="preserve"> (voir partie 3.4).</w:t>
      </w:r>
    </w:p>
    <w:p>
      <w:pPr>
        <w:pStyle w:val="Heading2"/>
      </w:pPr>
      <w:r>
        <w:rPr>
          <w:rFonts w:ascii="Arial" w:cs="Arial" w:eastAsia="Arial" w:hAnsi="Arial"/>
        </w:rPr>
        <w:t xml:space="preserve">1.4 Réglementation à vérifier avec un professionnel</w:t>
      </w:r>
    </w:p>
    <w:p>
      <w:pPr>
        <w:pStyle w:val="ListParagraph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D2A24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1D2A24"/>
          <w:sz w:val="21"/>
          <w:szCs w:val="21"/>
        </w:rPr>
        <w:t xml:space="preserve">Données personnelles</w:t>
      </w:r>
      <w:r>
        <w:rPr>
          <w:rFonts w:ascii="Arial" w:cs="Arial" w:eastAsia="Arial" w:hAnsi="Arial"/>
          <w:color w:val="1D2A24"/>
          <w:sz w:val="21"/>
          <w:szCs w:val="21"/>
        </w:rPr>
        <w:t xml:space="preserve"> : loi n° 2008-12 du 25 janvier 2008 et Commission de Protection des Données Personnelles (CDP). Elle traite des déclarations et des demandes d’autorisation. </w:t>
      </w:r>
      <w:r>
        <w:rPr>
          <w:rFonts w:ascii="Arial" w:cs="Arial" w:eastAsia="Arial" w:hAnsi="Arial"/>
          <w:b/>
          <w:bCs/>
          <w:color w:val="1D2A24"/>
          <w:sz w:val="21"/>
          <w:szCs w:val="21"/>
        </w:rPr>
        <w:t xml:space="preserve">Je n’ai trouvé aucune position de la CDP sur la géolocalisation</w:t>
      </w:r>
      <w:r>
        <w:rPr>
          <w:rFonts w:ascii="Arial" w:cs="Arial" w:eastAsia="Arial" w:hAnsi="Arial"/>
          <w:color w:val="1D2A24"/>
          <w:sz w:val="21"/>
          <w:szCs w:val="21"/>
        </w:rPr>
        <w:t xml:space="preserve"> : demander à un juriste ou à la CDP si une autorisation préalable est nécessaire.</w:t>
      </w:r>
    </w:p>
    <w:p>
      <w:pPr>
        <w:pStyle w:val="ListParagraph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D2A24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1D2A24"/>
          <w:sz w:val="21"/>
          <w:szCs w:val="21"/>
        </w:rPr>
        <w:t xml:space="preserve">Statut de la société, fiscalité, statut des prestataires indépendants</w:t>
      </w:r>
      <w:r>
        <w:rPr>
          <w:rFonts w:ascii="Arial" w:cs="Arial" w:eastAsia="Arial" w:hAnsi="Arial"/>
          <w:color w:val="1D2A24"/>
          <w:sz w:val="21"/>
          <w:szCs w:val="21"/>
        </w:rPr>
        <w:t xml:space="preserve"> : non traités dans les sources trouvées. Le Startup Act sénégalais est mentionné (avantages fiscaux annoncés) : conditions à vérifier.</w:t>
      </w:r>
    </w:p>
    <w:p>
      <w:pPr>
        <w:pStyle w:val="ListParagraph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D2A24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1D2A24"/>
          <w:sz w:val="21"/>
          <w:szCs w:val="21"/>
        </w:rPr>
        <w:t xml:space="preserve">Responsabilité en cas de dommage</w:t>
      </w:r>
      <w:r>
        <w:rPr>
          <w:rFonts w:ascii="Arial" w:cs="Arial" w:eastAsia="Arial" w:hAnsi="Arial"/>
          <w:color w:val="1D2A24"/>
          <w:sz w:val="21"/>
          <w:szCs w:val="21"/>
        </w:rPr>
        <w:t xml:space="preserve"> causé par un prestataire : à faire examiner (assurance, conditions générales).</w:t>
      </w:r>
    </w:p>
    <w:p>
      <w:pPr>
        <w:pStyle w:val="Heading2"/>
      </w:pPr>
      <w:r>
        <w:rPr>
          <w:rFonts w:ascii="Arial" w:cs="Arial" w:eastAsia="Arial" w:hAnsi="Arial"/>
        </w:rPr>
        <w:t xml:space="preserve">1.5 Ce qui reste introuvable (donc à obtenir sur le terrain)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0F6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Donnée manquante</w:t>
            </w:r>
          </w:p>
        </w:tc>
        <w:tc>
          <w:tcPr>
            <w:tcW w:type="dxa" w:w="4819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0F6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Comment l’obtenir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7"/>
                <w:szCs w:val="17"/>
              </w:rPr>
              <w:t xml:space="preserve">Fréquence de besoin (dépannage, pressing, livraison) par ménage</w:t>
            </w:r>
          </w:p>
        </w:tc>
        <w:tc>
          <w:tcPr>
            <w:tcW w:type="dxa" w:w="4819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7"/>
                <w:szCs w:val="17"/>
              </w:rPr>
              <w:t xml:space="preserve">Entretiens clients, question « dernière fois » (guide A)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7"/>
                <w:szCs w:val="17"/>
              </w:rPr>
              <w:t xml:space="preserve">Prix réels payés et prix acceptés</w:t>
            </w:r>
          </w:p>
        </w:tc>
        <w:tc>
          <w:tcPr>
            <w:tcW w:type="dxa" w:w="4819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7"/>
                <w:szCs w:val="17"/>
              </w:rPr>
              <w:t xml:space="preserve">Entretiens clients et prestataires ; appels « client mystère »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7"/>
                <w:szCs w:val="17"/>
              </w:rPr>
              <w:t xml:space="preserve">Revenus et nombre de clients des prestataires</w:t>
            </w:r>
          </w:p>
        </w:tc>
        <w:tc>
          <w:tcPr>
            <w:tcW w:type="dxa" w:w="4819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7"/>
                <w:szCs w:val="17"/>
              </w:rPr>
              <w:t xml:space="preserve">Entretiens prestataires (guide B)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7"/>
                <w:szCs w:val="17"/>
              </w:rPr>
              <w:t xml:space="preserve">Part du bouche-à-oreille et de WhatsApp</w:t>
            </w:r>
          </w:p>
        </w:tc>
        <w:tc>
          <w:tcPr>
            <w:tcW w:type="dxa" w:w="4819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7"/>
                <w:szCs w:val="17"/>
              </w:rPr>
              <w:t xml:space="preserve">Entretiens clients (guide A)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7"/>
                <w:szCs w:val="17"/>
              </w:rPr>
              <w:t xml:space="preserve">Situation réelle de Niafey, Bridger et des autres</w:t>
            </w:r>
          </w:p>
        </w:tc>
        <w:tc>
          <w:tcPr>
            <w:tcW w:type="dxa" w:w="4819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7"/>
                <w:szCs w:val="17"/>
              </w:rPr>
              <w:t xml:space="preserve">Téléchargement, commande test, avis publics, contact direct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7"/>
                <w:szCs w:val="17"/>
              </w:rPr>
              <w:t xml:space="preserve">Population exacte de Pikine, par commune</w:t>
            </w:r>
          </w:p>
        </w:tc>
        <w:tc>
          <w:tcPr>
            <w:tcW w:type="dxa" w:w="4819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7"/>
                <w:szCs w:val="17"/>
              </w:rPr>
              <w:t xml:space="preserve">Rapport RGPH-5 de l’ANSD (ansd.sn)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7"/>
                <w:szCs w:val="17"/>
              </w:rPr>
              <w:t xml:space="preserve">Données BCEAO Sénégal sur la monnaie mobile</w:t>
            </w:r>
          </w:p>
        </w:tc>
        <w:tc>
          <w:tcPr>
            <w:tcW w:type="dxa" w:w="4819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7"/>
                <w:szCs w:val="17"/>
              </w:rPr>
              <w:t xml:space="preserve">Statistiques BCEAO, publications de Wave et Orange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1.6 Sources utilisées</w:t>
      </w:r>
    </w:p>
    <w:p>
      <w:pPr>
        <w:spacing w:after="30"/>
      </w:pPr>
      <w:hyperlink w:history="1" r:id="rIdsh5omfrytgk375acp8gt-">
        <w:r>
          <w:rPr>
            <w:rFonts w:ascii="Arial" w:cs="Arial" w:eastAsia="Arial" w:hAnsi="Arial"/>
            <w:color w:val="0B5CAD"/>
            <w:sz w:val="18"/>
            <w:szCs w:val="18"/>
            <w:u w:val="single"/>
          </w:rPr>
          <w:t xml:space="preserve">ANSD : principaux résultats du RGPH-5</w:t>
        </w:r>
      </w:hyperlink>
    </w:p>
    <w:p>
      <w:pPr>
        <w:spacing w:after="30"/>
      </w:pPr>
      <w:hyperlink w:history="1" r:id="rId0nb4czjump1nzc-jt9m4r">
        <w:r>
          <w:rPr>
            <w:rFonts w:ascii="Arial" w:cs="Arial" w:eastAsia="Arial" w:hAnsi="Arial"/>
            <w:color w:val="0B5CAD"/>
            <w:sz w:val="18"/>
            <w:szCs w:val="18"/>
            <w:u w:val="single"/>
          </w:rPr>
          <w:t xml:space="preserve">Vie publique : département de Pikine</w:t>
        </w:r>
      </w:hyperlink>
    </w:p>
    <w:p>
      <w:pPr>
        <w:spacing w:after="30"/>
      </w:pPr>
      <w:hyperlink w:history="1" r:id="rIdu4-elw3q7kxe6hnnth0xc">
        <w:r>
          <w:rPr>
            <w:rFonts w:ascii="Arial" w:cs="Arial" w:eastAsia="Arial" w:hAnsi="Arial"/>
            <w:color w:val="0B5CAD"/>
            <w:sz w:val="18"/>
            <w:szCs w:val="18"/>
            <w:u w:val="single"/>
          </w:rPr>
          <w:t xml:space="preserve">DataReportal : Digital 2025 Senegal</w:t>
        </w:r>
      </w:hyperlink>
    </w:p>
    <w:p>
      <w:pPr>
        <w:spacing w:after="30"/>
      </w:pPr>
      <w:hyperlink w:history="1" r:id="rIdlpke10-spgjboiq3me6xk">
        <w:r>
          <w:rPr>
            <w:rFonts w:ascii="Arial" w:cs="Arial" w:eastAsia="Arial" w:hAnsi="Arial"/>
            <w:color w:val="0B5CAD"/>
            <w:sz w:val="18"/>
            <w:szCs w:val="18"/>
            <w:u w:val="single"/>
          </w:rPr>
          <w:t xml:space="preserve">DataReportal : Digital 2026 Senegal</w:t>
        </w:r>
      </w:hyperlink>
    </w:p>
    <w:p>
      <w:pPr>
        <w:spacing w:after="30"/>
      </w:pPr>
      <w:hyperlink w:history="1" r:id="rIda7bm6wlx-agvaz1ksizr9">
        <w:r>
          <w:rPr>
            <w:rFonts w:ascii="Arial" w:cs="Arial" w:eastAsia="Arial" w:hAnsi="Arial"/>
            <w:color w:val="0B5CAD"/>
            <w:sz w:val="18"/>
            <w:szCs w:val="18"/>
            <w:u w:val="single"/>
          </w:rPr>
          <w:t xml:space="preserve">ANSD : enquête emploi et secteur informel 2017</w:t>
        </w:r>
      </w:hyperlink>
    </w:p>
    <w:p>
      <w:pPr>
        <w:spacing w:after="30"/>
      </w:pPr>
      <w:hyperlink w:history="1" r:id="rIdrdxb-wgvlius_esabeovg">
        <w:r>
          <w:rPr>
            <w:rFonts w:ascii="Arial" w:cs="Arial" w:eastAsia="Arial" w:hAnsi="Arial"/>
            <w:color w:val="0B5CAD"/>
            <w:sz w:val="18"/>
            <w:szCs w:val="18"/>
            <w:u w:val="single"/>
          </w:rPr>
          <w:t xml:space="preserve">VC4A : fiche Niafey</w:t>
        </w:r>
      </w:hyperlink>
    </w:p>
    <w:p>
      <w:pPr>
        <w:spacing w:after="30"/>
      </w:pPr>
      <w:hyperlink w:history="1" r:id="rIdf2jsmzvlx9kzduudpkp89">
        <w:r>
          <w:rPr>
            <w:rFonts w:ascii="Arial" w:cs="Arial" w:eastAsia="Arial" w:hAnsi="Arial"/>
            <w:color w:val="0B5CAD"/>
            <w:sz w:val="18"/>
            <w:szCs w:val="18"/>
            <w:u w:val="single"/>
          </w:rPr>
          <w:t xml:space="preserve">Dakaractu : Yango Cargo à Dakar</w:t>
        </w:r>
      </w:hyperlink>
    </w:p>
    <w:p>
      <w:pPr>
        <w:spacing w:after="30"/>
      </w:pPr>
      <w:hyperlink w:history="1" r:id="rId4lj21jdyj2y90gdqvf7js">
        <w:r>
          <w:rPr>
            <w:rFonts w:ascii="Arial" w:cs="Arial" w:eastAsia="Arial" w:hAnsi="Arial"/>
            <w:color w:val="0B5CAD"/>
            <w:sz w:val="18"/>
            <w:szCs w:val="18"/>
            <w:u w:val="single"/>
          </w:rPr>
          <w:t xml:space="preserve">Osiris : entretien du directeur de Yango Delivery Sénégal</w:t>
        </w:r>
      </w:hyperlink>
    </w:p>
    <w:p>
      <w:pPr>
        <w:spacing w:after="30"/>
      </w:pPr>
      <w:hyperlink w:history="1" r:id="rIdf-vncvucu91lcu6xrc-cf">
        <w:r>
          <w:rPr>
            <w:rFonts w:ascii="Arial" w:cs="Arial" w:eastAsia="Arial" w:hAnsi="Arial"/>
            <w:color w:val="0B5CAD"/>
            <w:sz w:val="18"/>
            <w:szCs w:val="18"/>
            <w:u w:val="single"/>
          </w:rPr>
          <w:t xml:space="preserve">Senego : Yango Food Delivery</w:t>
        </w:r>
      </w:hyperlink>
    </w:p>
    <w:p>
      <w:pPr>
        <w:spacing w:after="30"/>
      </w:pPr>
      <w:hyperlink w:history="1" r:id="rIdt9x_krv-hwwp8srmujl5l">
        <w:r>
          <w:rPr>
            <w:rFonts w:ascii="Arial" w:cs="Arial" w:eastAsia="Arial" w:hAnsi="Arial"/>
            <w:color w:val="0B5CAD"/>
            <w:sz w:val="18"/>
            <w:szCs w:val="18"/>
            <w:u w:val="single"/>
          </w:rPr>
          <w:t xml:space="preserve">Osiris : CDP, démarrage des activités</w:t>
        </w:r>
      </w:hyperlink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2. Hypothèses à tester en priorité</w:t>
      </w:r>
    </w:p>
    <w:p>
      <w:pPr>
        <w:keepLines/>
        <w:spacing w:after="110" w:before="0" w:line="276"/>
      </w:pPr>
      <w:r>
        <w:rPr>
          <w:rFonts w:ascii="Arial" w:cs="Arial" w:eastAsia="Arial" w:hAnsi="Arial"/>
          <w:color w:val="1D2A24"/>
          <w:sz w:val="20"/>
          <w:szCs w:val="20"/>
        </w:rPr>
        <w:t xml:space="preserve">Chaque hypothèse est formulée pour pouvoir être </w:t>
      </w:r>
      <w:r>
        <w:rPr>
          <w:rFonts w:ascii="Arial" w:cs="Arial" w:eastAsia="Arial" w:hAnsi="Arial"/>
          <w:b/>
          <w:bCs/>
          <w:color w:val="1D2A24"/>
          <w:sz w:val="20"/>
          <w:szCs w:val="20"/>
        </w:rPr>
        <w:t xml:space="preserve">infirmée</w:t>
      </w:r>
      <w:r>
        <w:rPr>
          <w:rFonts w:ascii="Arial" w:cs="Arial" w:eastAsia="Arial" w:hAnsi="Arial"/>
          <w:color w:val="1D2A24"/>
          <w:sz w:val="20"/>
          <w:szCs w:val="20"/>
        </w:rPr>
        <w:t xml:space="preserve">. Le seuil proposé est un point de départ à discuter avec les associés, pas une norme.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3276"/>
        <w:gridCol w:w="2313"/>
        <w:gridCol w:w="3471"/>
      </w:tblGrid>
      <w:tr>
        <w:trPr>
          <w:cantSplit/>
          <w:tblHeader/>
        </w:trPr>
        <w:tc>
          <w:tcPr>
            <w:tcW w:type="dxa" w:w="578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0F6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N°</w:t>
            </w:r>
          </w:p>
        </w:tc>
        <w:tc>
          <w:tcPr>
            <w:tcW w:type="dxa" w:w="3276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0F6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Hypothèse</w:t>
            </w:r>
          </w:p>
        </w:tc>
        <w:tc>
          <w:tcPr>
            <w:tcW w:type="dxa" w:w="2313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0F6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dxa" w:w="3471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0F6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Seuil proposé pour la confirmer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H1</w:t>
            </w:r>
          </w:p>
        </w:tc>
        <w:tc>
          <w:tcPr>
            <w:tcW w:type="dxa" w:w="3276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Les clients ont un besoin récurrent et ont du mal à trouver un prestataire fiable.</w:t>
            </w:r>
          </w:p>
        </w:tc>
        <w:tc>
          <w:tcPr>
            <w:tcW w:type="dxa" w:w="2313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Guide A, partie « dernière fois »</w:t>
            </w:r>
          </w:p>
        </w:tc>
        <w:tc>
          <w:tcPr>
            <w:tcW w:type="dxa" w:w="3471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Au moins 6 sur 10 décrivent un problème vécu dans les 6 derniers mois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H2</w:t>
            </w:r>
          </w:p>
        </w:tc>
        <w:tc>
          <w:tcPr>
            <w:tcW w:type="dxa" w:w="3276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Le bouche-à-oreille ne suffit pas ou ne marche pas dans l’urgence.</w:t>
            </w:r>
          </w:p>
        </w:tc>
        <w:tc>
          <w:tcPr>
            <w:tcW w:type="dxa" w:w="2313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Guide A</w:t>
            </w:r>
          </w:p>
        </w:tc>
        <w:tc>
          <w:tcPr>
            <w:tcW w:type="dxa" w:w="3471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Au moins 5 sur 10 citent un cas où il n’a pas suffi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H3</w:t>
            </w:r>
          </w:p>
        </w:tc>
        <w:tc>
          <w:tcPr>
            <w:tcW w:type="dxa" w:w="3276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Les clients accepteraient de passer par un intermédiaire.</w:t>
            </w:r>
          </w:p>
        </w:tc>
        <w:tc>
          <w:tcPr>
            <w:tcW w:type="dxa" w:w="2313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Test manuel WhatsApp (partie 3.4)</w:t>
            </w:r>
          </w:p>
        </w:tc>
        <w:tc>
          <w:tcPr>
            <w:tcW w:type="dxa" w:w="3471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Au moins 5 commandes réelles en 2 semaines, sans promesse de gratuité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H4</w:t>
            </w:r>
          </w:p>
        </w:tc>
        <w:tc>
          <w:tcPr>
            <w:tcW w:type="dxa" w:w="3276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Les clients paieraient un frais de service ou accepteraient un prix annoncé.</w:t>
            </w:r>
          </w:p>
        </w:tc>
        <w:tc>
          <w:tcPr>
            <w:tcW w:type="dxa" w:w="2313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Guide A + test manuel</w:t>
            </w:r>
          </w:p>
        </w:tc>
        <w:tc>
          <w:tcPr>
            <w:tcW w:type="dxa" w:w="3471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Au moins 3 clients acceptent un prix annoncé incluant la marge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H5</w:t>
            </w:r>
          </w:p>
        </w:tc>
        <w:tc>
          <w:tcPr>
            <w:tcW w:type="dxa" w:w="3276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Les prestataires veulent plus de clients et acceptent une commission.</w:t>
            </w:r>
          </w:p>
        </w:tc>
        <w:tc>
          <w:tcPr>
            <w:tcW w:type="dxa" w:w="2313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Guide B</w:t>
            </w:r>
          </w:p>
        </w:tc>
        <w:tc>
          <w:tcPr>
            <w:tcW w:type="dxa" w:w="3471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Au moins 5 sur 10 intéressés ; au moins 3 prêts à payer sous une forme précise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H6</w:t>
            </w:r>
          </w:p>
        </w:tc>
        <w:tc>
          <w:tcPr>
            <w:tcW w:type="dxa" w:w="3276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Les prestataires ne contourneront pas la plateforme après le premier contact.</w:t>
            </w:r>
          </w:p>
        </w:tc>
        <w:tc>
          <w:tcPr>
            <w:tcW w:type="dxa" w:w="2313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Test manuel (rappels des clients)</w:t>
            </w:r>
          </w:p>
        </w:tc>
        <w:tc>
          <w:tcPr>
            <w:tcW w:type="dxa" w:w="3471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Au moins 70 % des missions repassent par nous à la 2e demande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H7</w:t>
            </w:r>
          </w:p>
        </w:tc>
        <w:tc>
          <w:tcPr>
            <w:tcW w:type="dxa" w:w="3276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Un prestataire peut être vérifié simplement.</w:t>
            </w:r>
          </w:p>
        </w:tc>
        <w:tc>
          <w:tcPr>
            <w:tcW w:type="dxa" w:w="2313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Guide B + test</w:t>
            </w:r>
          </w:p>
        </w:tc>
        <w:tc>
          <w:tcPr>
            <w:tcW w:type="dxa" w:w="3471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Vérification réalisée en moins de 30 minutes par prestataire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H8</w:t>
            </w:r>
          </w:p>
        </w:tc>
        <w:tc>
          <w:tcPr>
            <w:tcW w:type="dxa" w:w="3276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Notre offre est meilleure que les applications existantes pour un segment précis.</w:t>
            </w:r>
          </w:p>
        </w:tc>
        <w:tc>
          <w:tcPr>
            <w:tcW w:type="dxa" w:w="2313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Essai des concurrents + entretiens</w:t>
            </w:r>
          </w:p>
        </w:tc>
        <w:tc>
          <w:tcPr>
            <w:tcW w:type="dxa" w:w="3471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Un avantage cité spontanément par au moins 4 clients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3. Guides d’entretien et test terrain</w:t>
      </w:r>
    </w:p>
    <w:p>
      <w:pPr>
        <w:pStyle w:val="Heading2"/>
      </w:pPr>
      <w:r>
        <w:rPr>
          <w:rFonts w:ascii="Arial" w:cs="Arial" w:eastAsia="Arial" w:hAnsi="Arial"/>
        </w:rPr>
        <w:t xml:space="preserve">3.1 Règles pour tous les entretiens</w:t>
      </w:r>
    </w:p>
    <w:p>
      <w:pPr>
        <w:pStyle w:val="ListParagraph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D2A24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1D2A24"/>
          <w:sz w:val="21"/>
          <w:szCs w:val="21"/>
        </w:rPr>
        <w:t xml:space="preserve">Ne présentez pas votre projet au début.</w:t>
      </w:r>
      <w:r>
        <w:rPr>
          <w:rFonts w:ascii="Arial" w:cs="Arial" w:eastAsia="Arial" w:hAnsi="Arial"/>
          <w:color w:val="1D2A24"/>
          <w:sz w:val="21"/>
          <w:szCs w:val="21"/>
        </w:rPr>
        <w:t xml:space="preserve"> Parlez du passé de la personne, pas de ce qu’elle ferait. « Que feriez-vous si… » donne des réponses polies et peu fiables ; « la dernière fois, qu’avez-vous fait ? » donne des faits.</w:t>
      </w:r>
    </w:p>
    <w:p>
      <w:pPr>
        <w:pStyle w:val="ListParagraph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D2A24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1D2A24"/>
          <w:sz w:val="21"/>
          <w:szCs w:val="21"/>
        </w:rPr>
        <w:t xml:space="preserve">Interrogez 8 à 10 clients et 8 à 10 prestataires</w:t>
      </w:r>
      <w:r>
        <w:rPr>
          <w:rFonts w:ascii="Arial" w:cs="Arial" w:eastAsia="Arial" w:hAnsi="Arial"/>
          <w:color w:val="1D2A24"/>
          <w:sz w:val="21"/>
          <w:szCs w:val="21"/>
        </w:rPr>
        <w:t xml:space="preserve">, de profils variés : au moins 3 quartiers différents, hommes et femmes, âges variés, une partie sans application sur leur téléphone.</w:t>
      </w:r>
    </w:p>
    <w:p>
      <w:pPr>
        <w:pStyle w:val="ListParagraph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D2A24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1D2A24"/>
          <w:sz w:val="21"/>
          <w:szCs w:val="21"/>
        </w:rPr>
        <w:t xml:space="preserve">Évitez les amis proches</w:t>
      </w:r>
      <w:r>
        <w:rPr>
          <w:rFonts w:ascii="Arial" w:cs="Arial" w:eastAsia="Arial" w:hAnsi="Arial"/>
          <w:color w:val="1D2A24"/>
          <w:sz w:val="21"/>
          <w:szCs w:val="21"/>
        </w:rPr>
        <w:t xml:space="preserve"> pour au moins la moitié des entretiens : ils diront ce que vous voulez entendre.</w:t>
      </w:r>
    </w:p>
    <w:p>
      <w:pPr>
        <w:pStyle w:val="ListParagraph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D2A24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1D2A24"/>
          <w:sz w:val="21"/>
          <w:szCs w:val="21"/>
        </w:rPr>
        <w:t xml:space="preserve">Durée : 15 à 20 minutes.</w:t>
      </w:r>
      <w:r>
        <w:rPr>
          <w:rFonts w:ascii="Arial" w:cs="Arial" w:eastAsia="Arial" w:hAnsi="Arial"/>
          <w:color w:val="1D2A24"/>
          <w:sz w:val="21"/>
          <w:szCs w:val="21"/>
        </w:rPr>
        <w:t xml:space="preserve"> Notez les mots exacts de la personne, entre guillemets. Une personne = une fiche.</w:t>
      </w:r>
    </w:p>
    <w:p>
      <w:pPr>
        <w:pStyle w:val="ListParagraph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D2A24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1D2A24"/>
          <w:sz w:val="21"/>
          <w:szCs w:val="21"/>
        </w:rPr>
        <w:t xml:space="preserve">Consentement</w:t>
      </w:r>
      <w:r>
        <w:rPr>
          <w:rFonts w:ascii="Arial" w:cs="Arial" w:eastAsia="Arial" w:hAnsi="Arial"/>
          <w:color w:val="1D2A24"/>
          <w:sz w:val="21"/>
          <w:szCs w:val="21"/>
        </w:rPr>
        <w:t xml:space="preserve"> : annoncez que c’est une étude, que les réponses sont anonymes, et ne notez pas de nom si la personne le refuse.</w:t>
      </w:r>
    </w:p>
    <w:p>
      <w:pPr>
        <w:pStyle w:val="ListParagraph"/>
        <w:keepLines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D2A24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color w:val="1D2A24"/>
          <w:sz w:val="21"/>
          <w:szCs w:val="21"/>
        </w:rPr>
        <w:t xml:space="preserve">Ne promettez rien</w:t>
      </w:r>
      <w:r>
        <w:rPr>
          <w:rFonts w:ascii="Arial" w:cs="Arial" w:eastAsia="Arial" w:hAnsi="Arial"/>
          <w:color w:val="1D2A24"/>
          <w:sz w:val="21"/>
          <w:szCs w:val="21"/>
        </w:rPr>
        <w:t xml:space="preserve"> (ni service, ni emploi, ni gratuité). Ne donnez aucun prix de votre côté avant que la personne ait donné le sien.</w:t>
      </w:r>
    </w:p>
    <w:p>
      <w:pPr>
        <w:pStyle w:val="Heading2"/>
      </w:pPr>
      <w:r>
        <w:rPr>
          <w:rFonts w:ascii="Arial" w:cs="Arial" w:eastAsia="Arial" w:hAnsi="Arial"/>
        </w:rPr>
        <w:t xml:space="preserve">3.2 Guide A : entretien client (15 à 20 minutes)</w:t>
      </w:r>
    </w:p>
    <w:p>
      <w:pPr>
        <w:pStyle w:val="Heading3"/>
      </w:pPr>
      <w:r>
        <w:rPr>
          <w:rFonts w:ascii="Arial" w:cs="Arial" w:eastAsia="Arial" w:hAnsi="Arial"/>
        </w:rPr>
        <w:t xml:space="preserve">Partie 1. Profil (2 min)</w:t>
      </w:r>
    </w:p>
    <w:p>
      <w:pPr>
        <w:pStyle w:val="ListParagraph"/>
        <w:keepLines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color w:val="1D2A24"/>
          <w:sz w:val="21"/>
          <w:szCs w:val="21"/>
        </w:rPr>
        <w:t xml:space="preserve">Quartier, âge approximatif, situation (locataire, propriétaire, famille, seul), activité.</w:t>
      </w:r>
    </w:p>
    <w:p>
      <w:pPr>
        <w:pStyle w:val="ListParagraph"/>
        <w:keepLines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color w:val="1D2A24"/>
          <w:sz w:val="21"/>
          <w:szCs w:val="21"/>
        </w:rPr>
        <w:t xml:space="preserve">Téléphone : smartphone ou non ? Données mobiles régulières ? WhatsApp ? Wave ou Orange Money ?</w:t>
      </w:r>
    </w:p>
    <w:p>
      <w:pPr>
        <w:pStyle w:val="Heading3"/>
      </w:pPr>
      <w:r>
        <w:rPr>
          <w:rFonts w:ascii="Arial" w:cs="Arial" w:eastAsia="Arial" w:hAnsi="Arial"/>
        </w:rPr>
        <w:t xml:space="preserve">Partie 2. Dépannage et réparation (5 min)</w:t>
      </w:r>
    </w:p>
    <w:p>
      <w:pPr>
        <w:pStyle w:val="ListParagraph"/>
        <w:keepLines/>
        <w:numPr>
          <w:ilvl w:val="0"/>
          <w:numId w:val="4"/>
        </w:numPr>
        <w:spacing w:after="70" w:line="270"/>
      </w:pPr>
      <w:r>
        <w:rPr>
          <w:rFonts w:ascii="Arial" w:cs="Arial" w:eastAsia="Arial" w:hAnsi="Arial"/>
          <w:color w:val="1D2A24"/>
          <w:sz w:val="21"/>
          <w:szCs w:val="21"/>
        </w:rPr>
        <w:t xml:space="preserve">Quand avez-vous eu pour la dernière fois une panne ou une réparation à la maison (eau, électricité, climatisation, serrure) ? Que s’est-il passé ?</w:t>
      </w:r>
    </w:p>
    <w:p>
      <w:pPr>
        <w:pStyle w:val="ListParagraph"/>
        <w:keepLines/>
        <w:numPr>
          <w:ilvl w:val="0"/>
          <w:numId w:val="4"/>
        </w:numPr>
        <w:spacing w:after="70" w:line="270"/>
      </w:pPr>
      <w:r>
        <w:rPr>
          <w:rFonts w:ascii="Arial" w:cs="Arial" w:eastAsia="Arial" w:hAnsi="Arial"/>
          <w:color w:val="1D2A24"/>
          <w:sz w:val="21"/>
          <w:szCs w:val="21"/>
        </w:rPr>
        <w:t xml:space="preserve">Comment avez-vous trouvé la personne ? Combien de temps a-t-il fallu pour qu’elle vienne ?</w:t>
      </w:r>
    </w:p>
    <w:p>
      <w:pPr>
        <w:pStyle w:val="ListParagraph"/>
        <w:keepLines/>
        <w:numPr>
          <w:ilvl w:val="0"/>
          <w:numId w:val="4"/>
        </w:numPr>
        <w:spacing w:after="70" w:line="270"/>
      </w:pPr>
      <w:r>
        <w:rPr>
          <w:rFonts w:ascii="Arial" w:cs="Arial" w:eastAsia="Arial" w:hAnsi="Arial"/>
          <w:color w:val="1D2A24"/>
          <w:sz w:val="21"/>
          <w:szCs w:val="21"/>
        </w:rPr>
        <w:t xml:space="preserve">Combien avez-vous payé ? Le prix était-il annoncé avant, ou avez-vous négocié ? Une mauvaise surprise ?</w:t>
      </w:r>
    </w:p>
    <w:p>
      <w:pPr>
        <w:pStyle w:val="ListParagraph"/>
        <w:keepLines/>
        <w:numPr>
          <w:ilvl w:val="0"/>
          <w:numId w:val="4"/>
        </w:numPr>
        <w:spacing w:after="70" w:line="270"/>
      </w:pPr>
      <w:r>
        <w:rPr>
          <w:rFonts w:ascii="Arial" w:cs="Arial" w:eastAsia="Arial" w:hAnsi="Arial"/>
          <w:color w:val="1D2A24"/>
          <w:sz w:val="21"/>
          <w:szCs w:val="21"/>
        </w:rPr>
        <w:t xml:space="preserve">Le travail était-il bien fait ? Qu’avez-vous fait si ce n’était pas le cas ?</w:t>
      </w:r>
    </w:p>
    <w:p>
      <w:pPr>
        <w:pStyle w:val="ListParagraph"/>
        <w:keepLines/>
        <w:numPr>
          <w:ilvl w:val="0"/>
          <w:numId w:val="4"/>
        </w:numPr>
        <w:spacing w:after="70" w:line="270"/>
      </w:pPr>
      <w:r>
        <w:rPr>
          <w:rFonts w:ascii="Arial" w:cs="Arial" w:eastAsia="Arial" w:hAnsi="Arial"/>
          <w:color w:val="1D2A24"/>
          <w:sz w:val="21"/>
          <w:szCs w:val="21"/>
        </w:rPr>
        <w:t xml:space="preserve">Qu’est-ce qui vous a le plus gêné ?</w:t>
      </w:r>
    </w:p>
    <w:p>
      <w:pPr>
        <w:pStyle w:val="Heading3"/>
      </w:pPr>
      <w:r>
        <w:rPr>
          <w:rFonts w:ascii="Arial" w:cs="Arial" w:eastAsia="Arial" w:hAnsi="Arial"/>
        </w:rPr>
        <w:t xml:space="preserve">Partie 3. Nettoyage et pressing (4 min)</w:t>
      </w:r>
    </w:p>
    <w:p>
      <w:pPr>
        <w:pStyle w:val="ListParagraph"/>
        <w:keepLines/>
        <w:numPr>
          <w:ilvl w:val="0"/>
          <w:numId w:val="5"/>
        </w:numPr>
        <w:spacing w:after="70" w:line="270"/>
      </w:pPr>
      <w:r>
        <w:rPr>
          <w:rFonts w:ascii="Arial" w:cs="Arial" w:eastAsia="Arial" w:hAnsi="Arial"/>
          <w:color w:val="1D2A24"/>
          <w:sz w:val="21"/>
          <w:szCs w:val="21"/>
        </w:rPr>
        <w:t xml:space="preserve">Qui s’occupe du linge et du ménage chez vous ? Utilisez-vous un pressing ou une personne de confiance ? À quelle fréquence ?</w:t>
      </w:r>
    </w:p>
    <w:p>
      <w:pPr>
        <w:pStyle w:val="ListParagraph"/>
        <w:keepLines/>
        <w:numPr>
          <w:ilvl w:val="0"/>
          <w:numId w:val="5"/>
        </w:numPr>
        <w:spacing w:after="70" w:line="270"/>
      </w:pPr>
      <w:r>
        <w:rPr>
          <w:rFonts w:ascii="Arial" w:cs="Arial" w:eastAsia="Arial" w:hAnsi="Arial"/>
          <w:color w:val="1D2A24"/>
          <w:sz w:val="21"/>
          <w:szCs w:val="21"/>
        </w:rPr>
        <w:t xml:space="preserve">Combien dépensez-vous par mois environ ? Comment êtes-vous livré, ou venez-vous sur place ?</w:t>
      </w:r>
    </w:p>
    <w:p>
      <w:pPr>
        <w:pStyle w:val="ListParagraph"/>
        <w:keepLines/>
        <w:numPr>
          <w:ilvl w:val="0"/>
          <w:numId w:val="5"/>
        </w:numPr>
        <w:spacing w:after="70" w:line="270"/>
      </w:pPr>
      <w:r>
        <w:rPr>
          <w:rFonts w:ascii="Arial" w:cs="Arial" w:eastAsia="Arial" w:hAnsi="Arial"/>
          <w:color w:val="1D2A24"/>
          <w:sz w:val="21"/>
          <w:szCs w:val="21"/>
        </w:rPr>
        <w:t xml:space="preserve">Un problème récent (retard, vêtement abîmé, perte) ? Qu’avez-vous fait ?</w:t>
      </w:r>
    </w:p>
    <w:p>
      <w:pPr>
        <w:pStyle w:val="Heading3"/>
      </w:pPr>
      <w:r>
        <w:rPr>
          <w:rFonts w:ascii="Arial" w:cs="Arial" w:eastAsia="Arial" w:hAnsi="Arial"/>
        </w:rPr>
        <w:t xml:space="preserve">Partie 4. Livraison (3 min)</w:t>
      </w:r>
    </w:p>
    <w:p>
      <w:pPr>
        <w:pStyle w:val="ListParagraph"/>
        <w:keepLines/>
        <w:numPr>
          <w:ilvl w:val="0"/>
          <w:numId w:val="6"/>
        </w:numPr>
        <w:spacing w:after="70" w:line="270"/>
      </w:pPr>
      <w:r>
        <w:rPr>
          <w:rFonts w:ascii="Arial" w:cs="Arial" w:eastAsia="Arial" w:hAnsi="Arial"/>
          <w:color w:val="1D2A24"/>
          <w:sz w:val="21"/>
          <w:szCs w:val="21"/>
        </w:rPr>
        <w:t xml:space="preserve">Quand avez-vous fait venir ou envoyé quelque chose pour la dernière fois ? Comment ? Combien avez-vous payé ?</w:t>
      </w:r>
    </w:p>
    <w:p>
      <w:pPr>
        <w:pStyle w:val="ListParagraph"/>
        <w:keepLines/>
        <w:numPr>
          <w:ilvl w:val="0"/>
          <w:numId w:val="6"/>
        </w:numPr>
        <w:spacing w:after="70" w:line="270"/>
      </w:pPr>
      <w:r>
        <w:rPr>
          <w:rFonts w:ascii="Arial" w:cs="Arial" w:eastAsia="Arial" w:hAnsi="Arial"/>
          <w:color w:val="1D2A24"/>
          <w:sz w:val="21"/>
          <w:szCs w:val="21"/>
        </w:rPr>
        <w:t xml:space="preserve">Utilisez-vous Yango, Glovo ou un livreur personnel ? Pourquoi celui-là ?</w:t>
      </w:r>
    </w:p>
    <w:p>
      <w:pPr>
        <w:pStyle w:val="Heading3"/>
      </w:pPr>
      <w:r>
        <w:rPr>
          <w:rFonts w:ascii="Arial" w:cs="Arial" w:eastAsia="Arial" w:hAnsi="Arial"/>
        </w:rPr>
        <w:t xml:space="preserve">Partie 5. Intermédiaire et paiement (3 min)</w:t>
      </w:r>
    </w:p>
    <w:p>
      <w:pPr>
        <w:pStyle w:val="ListParagraph"/>
        <w:keepLines/>
        <w:numPr>
          <w:ilvl w:val="0"/>
          <w:numId w:val="7"/>
        </w:numPr>
        <w:spacing w:after="70" w:line="270"/>
      </w:pPr>
      <w:r>
        <w:rPr>
          <w:rFonts w:ascii="Arial" w:cs="Arial" w:eastAsia="Arial" w:hAnsi="Arial"/>
          <w:color w:val="1D2A24"/>
          <w:sz w:val="21"/>
          <w:szCs w:val="21"/>
        </w:rPr>
        <w:t xml:space="preserve">Si un service vous mettait en contact avec un prestataire vérifié, qu’est-ce qui vous donnerait confiance ? Qu’est-ce qui vous ferait refuser ?</w:t>
      </w:r>
    </w:p>
    <w:p>
      <w:pPr>
        <w:pStyle w:val="ListParagraph"/>
        <w:keepLines/>
        <w:numPr>
          <w:ilvl w:val="0"/>
          <w:numId w:val="7"/>
        </w:numPr>
        <w:spacing w:after="70" w:line="270"/>
      </w:pPr>
      <w:r>
        <w:rPr>
          <w:rFonts w:ascii="Arial" w:cs="Arial" w:eastAsia="Arial" w:hAnsi="Arial"/>
          <w:color w:val="1D2A24"/>
          <w:sz w:val="21"/>
          <w:szCs w:val="21"/>
        </w:rPr>
        <w:t xml:space="preserve">Qu’est-ce qui compterait le plus : le prix, la rapidité, la confiance, le suivi, un recours si tout va mal ?</w:t>
      </w:r>
    </w:p>
    <w:p>
      <w:pPr>
        <w:pStyle w:val="ListParagraph"/>
        <w:keepLines/>
        <w:numPr>
          <w:ilvl w:val="0"/>
          <w:numId w:val="7"/>
        </w:numPr>
        <w:spacing w:after="70" w:line="270"/>
      </w:pPr>
      <w:r>
        <w:rPr>
          <w:rFonts w:ascii="Arial" w:cs="Arial" w:eastAsia="Arial" w:hAnsi="Arial"/>
          <w:color w:val="1D2A24"/>
          <w:sz w:val="21"/>
          <w:szCs w:val="21"/>
        </w:rPr>
        <w:t xml:space="preserve">Paieriez-vous un supplément pour cela ? Jusqu’à quel montant ? Dans quel cas ?</w:t>
      </w:r>
    </w:p>
    <w:p>
      <w:pPr>
        <w:pStyle w:val="ListParagraph"/>
        <w:keepLines/>
        <w:numPr>
          <w:ilvl w:val="0"/>
          <w:numId w:val="7"/>
        </w:numPr>
        <w:spacing w:after="70" w:line="270"/>
      </w:pPr>
      <w:r>
        <w:rPr>
          <w:rFonts w:ascii="Arial" w:cs="Arial" w:eastAsia="Arial" w:hAnsi="Arial"/>
          <w:color w:val="1D2A24"/>
          <w:sz w:val="21"/>
          <w:szCs w:val="21"/>
        </w:rPr>
        <w:t xml:space="preserve">Comment préférez-vous commander : appel, WhatsApp ou application ? Comment payez-vous : espèces, Wave, Orange Money ?</w:t>
      </w:r>
    </w:p>
    <w:p>
      <w:pPr>
        <w:pStyle w:val="ListParagraph"/>
        <w:keepLines/>
        <w:numPr>
          <w:ilvl w:val="0"/>
          <w:numId w:val="7"/>
        </w:numPr>
        <w:spacing w:after="70" w:line="270"/>
      </w:pPr>
      <w:r>
        <w:rPr>
          <w:rFonts w:ascii="Arial" w:cs="Arial" w:eastAsia="Arial" w:hAnsi="Arial"/>
          <w:color w:val="1D2A24"/>
          <w:sz w:val="21"/>
          <w:szCs w:val="21"/>
        </w:rPr>
        <w:t xml:space="preserve">Connaissez-vous des services qui font déjà cela ? Les avez-vous essayés ? Qu’en avez-vous pensé ?</w:t>
      </w:r>
    </w:p>
    <w:p>
      <w:pPr>
        <w:pStyle w:val="Heading3"/>
      </w:pPr>
      <w:r>
        <w:rPr>
          <w:rFonts w:ascii="Arial" w:cs="Arial" w:eastAsia="Arial" w:hAnsi="Arial"/>
        </w:rPr>
        <w:t xml:space="preserve">Clôture</w:t>
      </w:r>
    </w:p>
    <w:p>
      <w:pPr>
        <w:keepLines/>
        <w:spacing w:after="110" w:before="0" w:line="276"/>
      </w:pPr>
      <w:r>
        <w:rPr>
          <w:rFonts w:ascii="Arial" w:cs="Arial" w:eastAsia="Arial" w:hAnsi="Arial"/>
          <w:color w:val="1D2A24"/>
          <w:sz w:val="20"/>
          <w:szCs w:val="20"/>
        </w:rPr>
        <w:t xml:space="preserve">« Qui d’autre autour de vous a eu ce genre de problème et accepterait de me parler ? » (permet d’élargir l’échantillon). « Puis-je vous recontacter pour un test ? » (la réponse est un signal d’intérêt réel, à noter).</w:t>
      </w:r>
    </w:p>
    <w:p>
      <w:pPr>
        <w:pStyle w:val="Heading2"/>
      </w:pPr>
      <w:r>
        <w:rPr>
          <w:rFonts w:ascii="Arial" w:cs="Arial" w:eastAsia="Arial" w:hAnsi="Arial"/>
        </w:rPr>
        <w:t xml:space="preserve">3.3 Guide B : entretien prestataire (15 à 20 minutes)</w:t>
      </w:r>
    </w:p>
    <w:p>
      <w:pPr>
        <w:pStyle w:val="Heading3"/>
      </w:pPr>
      <w:r>
        <w:rPr>
          <w:rFonts w:ascii="Arial" w:cs="Arial" w:eastAsia="Arial" w:hAnsi="Arial"/>
        </w:rPr>
        <w:t xml:space="preserve">Partie 1. Activité (4 min)</w:t>
      </w:r>
    </w:p>
    <w:p>
      <w:pPr>
        <w:pStyle w:val="ListParagraph"/>
        <w:keepLines/>
        <w:numPr>
          <w:ilvl w:val="0"/>
          <w:numId w:val="8"/>
        </w:numPr>
        <w:spacing w:after="70" w:line="270"/>
      </w:pPr>
      <w:r>
        <w:rPr>
          <w:rFonts w:ascii="Arial" w:cs="Arial" w:eastAsia="Arial" w:hAnsi="Arial"/>
          <w:color w:val="1D2A24"/>
          <w:sz w:val="21"/>
          <w:szCs w:val="21"/>
        </w:rPr>
        <w:t xml:space="preserve">Quel métier, depuis combien de temps ? Seul ou avec une équipe ? Quelle zone ?</w:t>
      </w:r>
    </w:p>
    <w:p>
      <w:pPr>
        <w:pStyle w:val="ListParagraph"/>
        <w:keepLines/>
        <w:numPr>
          <w:ilvl w:val="0"/>
          <w:numId w:val="8"/>
        </w:numPr>
        <w:spacing w:after="70" w:line="270"/>
      </w:pPr>
      <w:r>
        <w:rPr>
          <w:rFonts w:ascii="Arial" w:cs="Arial" w:eastAsia="Arial" w:hAnsi="Arial"/>
          <w:color w:val="1D2A24"/>
          <w:sz w:val="21"/>
          <w:szCs w:val="21"/>
        </w:rPr>
        <w:t xml:space="preserve">Combien de clients ou de missions avez-vous par semaine ? Y a-t-il des périodes creuses ?</w:t>
      </w:r>
    </w:p>
    <w:p>
      <w:pPr>
        <w:pStyle w:val="ListParagraph"/>
        <w:keepLines/>
        <w:numPr>
          <w:ilvl w:val="0"/>
          <w:numId w:val="8"/>
        </w:numPr>
        <w:spacing w:after="70" w:line="270"/>
      </w:pPr>
      <w:r>
        <w:rPr>
          <w:rFonts w:ascii="Arial" w:cs="Arial" w:eastAsia="Arial" w:hAnsi="Arial"/>
          <w:color w:val="1D2A24"/>
          <w:sz w:val="21"/>
          <w:szCs w:val="21"/>
        </w:rPr>
        <w:t xml:space="preserve">Comment trouvez-vous vos clients ? Quelle part vient du bouche-à-oreille, de WhatsApp, de réseaux sociaux ?</w:t>
      </w:r>
    </w:p>
    <w:p>
      <w:pPr>
        <w:pStyle w:val="Heading3"/>
      </w:pPr>
      <w:r>
        <w:rPr>
          <w:rFonts w:ascii="Arial" w:cs="Arial" w:eastAsia="Arial" w:hAnsi="Arial"/>
        </w:rPr>
        <w:t xml:space="preserve">Partie 2. Prix et revenus (4 min)</w:t>
      </w:r>
    </w:p>
    <w:p>
      <w:pPr>
        <w:pStyle w:val="ListParagraph"/>
        <w:keepLines/>
        <w:numPr>
          <w:ilvl w:val="0"/>
          <w:numId w:val="9"/>
        </w:numPr>
        <w:spacing w:after="70" w:line="270"/>
      </w:pPr>
      <w:r>
        <w:rPr>
          <w:rFonts w:ascii="Arial" w:cs="Arial" w:eastAsia="Arial" w:hAnsi="Arial"/>
          <w:color w:val="1D2A24"/>
          <w:sz w:val="21"/>
          <w:szCs w:val="21"/>
        </w:rPr>
        <w:t xml:space="preserve">Combien demandez-vous pour une intervention courante (donnez un exemple de votre métier) ? Variation selon la distance, l’urgence ?</w:t>
      </w:r>
    </w:p>
    <w:p>
      <w:pPr>
        <w:pStyle w:val="ListParagraph"/>
        <w:keepLines/>
        <w:numPr>
          <w:ilvl w:val="0"/>
          <w:numId w:val="9"/>
        </w:numPr>
        <w:spacing w:after="70" w:line="270"/>
      </w:pPr>
      <w:r>
        <w:rPr>
          <w:rFonts w:ascii="Arial" w:cs="Arial" w:eastAsia="Arial" w:hAnsi="Arial"/>
          <w:color w:val="1D2A24"/>
          <w:sz w:val="21"/>
          <w:szCs w:val="21"/>
        </w:rPr>
        <w:t xml:space="preserve">Combien gagnez-vous par mois à peu près ? (Si la personne refuse : une fourchette.)</w:t>
      </w:r>
    </w:p>
    <w:p>
      <w:pPr>
        <w:pStyle w:val="ListParagraph"/>
        <w:keepLines/>
        <w:numPr>
          <w:ilvl w:val="0"/>
          <w:numId w:val="9"/>
        </w:numPr>
        <w:spacing w:after="70" w:line="270"/>
      </w:pPr>
      <w:r>
        <w:rPr>
          <w:rFonts w:ascii="Arial" w:cs="Arial" w:eastAsia="Arial" w:hAnsi="Arial"/>
          <w:color w:val="1D2A24"/>
          <w:sz w:val="21"/>
          <w:szCs w:val="21"/>
        </w:rPr>
        <w:t xml:space="preserve">Y a-t-il des clients qui ne paient pas ou paient en retard ? Que faites-vous ?</w:t>
      </w:r>
    </w:p>
    <w:p>
      <w:pPr>
        <w:pStyle w:val="ListParagraph"/>
        <w:keepLines/>
        <w:numPr>
          <w:ilvl w:val="0"/>
          <w:numId w:val="9"/>
        </w:numPr>
        <w:spacing w:after="70" w:line="270"/>
      </w:pPr>
      <w:r>
        <w:rPr>
          <w:rFonts w:ascii="Arial" w:cs="Arial" w:eastAsia="Arial" w:hAnsi="Arial"/>
          <w:color w:val="1D2A24"/>
          <w:sz w:val="21"/>
          <w:szCs w:val="21"/>
        </w:rPr>
        <w:t xml:space="preserve">Quels frais avez-vous : transport, matériel, téléphone ?</w:t>
      </w:r>
    </w:p>
    <w:p>
      <w:pPr>
        <w:pStyle w:val="Heading3"/>
      </w:pPr>
      <w:r>
        <w:rPr>
          <w:rFonts w:ascii="Arial" w:cs="Arial" w:eastAsia="Arial" w:hAnsi="Arial"/>
        </w:rPr>
        <w:t xml:space="preserve">Partie 3. Difficultés (3 min)</w:t>
      </w:r>
    </w:p>
    <w:p>
      <w:pPr>
        <w:pStyle w:val="ListParagraph"/>
        <w:keepLines/>
        <w:numPr>
          <w:ilvl w:val="0"/>
          <w:numId w:val="10"/>
        </w:numPr>
        <w:spacing w:after="70" w:line="270"/>
      </w:pPr>
      <w:r>
        <w:rPr>
          <w:rFonts w:ascii="Arial" w:cs="Arial" w:eastAsia="Arial" w:hAnsi="Arial"/>
          <w:color w:val="1D2A24"/>
          <w:sz w:val="21"/>
          <w:szCs w:val="21"/>
        </w:rPr>
        <w:t xml:space="preserve">Qu’est-ce qui vous empêche d’avoir plus de clients ?</w:t>
      </w:r>
    </w:p>
    <w:p>
      <w:pPr>
        <w:pStyle w:val="ListParagraph"/>
        <w:keepLines/>
        <w:numPr>
          <w:ilvl w:val="0"/>
          <w:numId w:val="10"/>
        </w:numPr>
        <w:spacing w:after="70" w:line="270"/>
      </w:pPr>
      <w:r>
        <w:rPr>
          <w:rFonts w:ascii="Arial" w:cs="Arial" w:eastAsia="Arial" w:hAnsi="Arial"/>
          <w:color w:val="1D2A24"/>
          <w:sz w:val="21"/>
          <w:szCs w:val="21"/>
        </w:rPr>
        <w:t xml:space="preserve">Un mauvais souvenir avec un client ? Qu’avez-vous fait ?</w:t>
      </w:r>
    </w:p>
    <w:p>
      <w:pPr>
        <w:pStyle w:val="Heading3"/>
      </w:pPr>
      <w:r>
        <w:rPr>
          <w:rFonts w:ascii="Arial" w:cs="Arial" w:eastAsia="Arial" w:hAnsi="Arial"/>
        </w:rPr>
        <w:t xml:space="preserve">Partie 4. Plateformes et commission (5 min)</w:t>
      </w:r>
    </w:p>
    <w:p>
      <w:pPr>
        <w:pStyle w:val="ListParagraph"/>
        <w:keepLines/>
        <w:numPr>
          <w:ilvl w:val="0"/>
          <w:numId w:val="11"/>
        </w:numPr>
        <w:spacing w:after="70" w:line="270"/>
      </w:pPr>
      <w:r>
        <w:rPr>
          <w:rFonts w:ascii="Arial" w:cs="Arial" w:eastAsia="Arial" w:hAnsi="Arial"/>
          <w:color w:val="1D2A24"/>
          <w:sz w:val="21"/>
          <w:szCs w:val="21"/>
        </w:rPr>
        <w:t xml:space="preserve">Avez-vous déjà utilisé une application ou un service pour trouver des clients ? Lequel ? Qu’en avez-vous pensé ?</w:t>
      </w:r>
    </w:p>
    <w:p>
      <w:pPr>
        <w:pStyle w:val="ListParagraph"/>
        <w:keepLines/>
        <w:numPr>
          <w:ilvl w:val="0"/>
          <w:numId w:val="11"/>
        </w:numPr>
        <w:spacing w:after="70" w:line="270"/>
      </w:pPr>
      <w:r>
        <w:rPr>
          <w:rFonts w:ascii="Arial" w:cs="Arial" w:eastAsia="Arial" w:hAnsi="Arial"/>
          <w:color w:val="1D2A24"/>
          <w:sz w:val="21"/>
          <w:szCs w:val="21"/>
        </w:rPr>
        <w:t xml:space="preserve">Si une plateforme vous envoyait des clients, comment accepteriez-vous de la payer : par mission, par abonnement, autre ? Quel montant vous semblerait raisonnable ?</w:t>
      </w:r>
    </w:p>
    <w:p>
      <w:pPr>
        <w:pStyle w:val="ListParagraph"/>
        <w:keepLines/>
        <w:numPr>
          <w:ilvl w:val="0"/>
          <w:numId w:val="11"/>
        </w:numPr>
        <w:spacing w:after="70" w:line="270"/>
      </w:pPr>
      <w:r>
        <w:rPr>
          <w:rFonts w:ascii="Arial" w:cs="Arial" w:eastAsia="Arial" w:hAnsi="Arial"/>
          <w:color w:val="1D2A24"/>
          <w:sz w:val="21"/>
          <w:szCs w:val="21"/>
        </w:rPr>
        <w:t xml:space="preserve">Accepteriez-vous un prix annoncé à l’avance ? Une vérification d’identité et de compétences ? Des évaluations par les clients ?</w:t>
      </w:r>
    </w:p>
    <w:p>
      <w:pPr>
        <w:pStyle w:val="ListParagraph"/>
        <w:keepLines/>
        <w:numPr>
          <w:ilvl w:val="0"/>
          <w:numId w:val="11"/>
        </w:numPr>
        <w:spacing w:after="70" w:line="270"/>
      </w:pPr>
      <w:r>
        <w:rPr>
          <w:rFonts w:ascii="Arial" w:cs="Arial" w:eastAsia="Arial" w:hAnsi="Arial"/>
          <w:color w:val="1D2A24"/>
          <w:sz w:val="21"/>
          <w:szCs w:val="21"/>
        </w:rPr>
        <w:t xml:space="preserve">Accepteriez-vous que le client paie la plateforme directement (Wave, Orange Money) ? Ou préférez-vous être payé en espèces ?</w:t>
      </w:r>
    </w:p>
    <w:p>
      <w:pPr>
        <w:pStyle w:val="ListParagraph"/>
        <w:keepLines/>
        <w:numPr>
          <w:ilvl w:val="0"/>
          <w:numId w:val="11"/>
        </w:numPr>
        <w:spacing w:after="70" w:line="270"/>
      </w:pPr>
      <w:r>
        <w:rPr>
          <w:rFonts w:ascii="Arial" w:cs="Arial" w:eastAsia="Arial" w:hAnsi="Arial"/>
          <w:color w:val="1D2A24"/>
          <w:sz w:val="21"/>
          <w:szCs w:val="21"/>
        </w:rPr>
        <w:t xml:space="preserve">Que ferez-vous si un client vous rappelle directement après la première mission ?</w:t>
      </w:r>
    </w:p>
    <w:p>
      <w:pPr>
        <w:pStyle w:val="Heading3"/>
      </w:pPr>
      <w:r>
        <w:rPr>
          <w:rFonts w:ascii="Arial" w:cs="Arial" w:eastAsia="Arial" w:hAnsi="Arial"/>
        </w:rPr>
        <w:t xml:space="preserve">Clôture</w:t>
      </w:r>
    </w:p>
    <w:p>
      <w:pPr>
        <w:keepLines/>
        <w:spacing w:after="110" w:before="0" w:line="276"/>
      </w:pPr>
      <w:r>
        <w:rPr>
          <w:rFonts w:ascii="Arial" w:cs="Arial" w:eastAsia="Arial" w:hAnsi="Arial"/>
          <w:color w:val="1D2A24"/>
          <w:sz w:val="20"/>
          <w:szCs w:val="20"/>
        </w:rPr>
        <w:t xml:space="preserve">« Connaissez-vous d’autres professionnels sérieux de votre métier ? » Noter si la personne donne un nom : c’est un signal d’appartenance à un réseau.</w:t>
      </w:r>
    </w:p>
    <w:p>
      <w:pPr>
        <w:pStyle w:val="Heading2"/>
      </w:pPr>
      <w:r>
        <w:rPr>
          <w:rFonts w:ascii="Arial" w:cs="Arial" w:eastAsia="Arial" w:hAnsi="Arial"/>
        </w:rPr>
        <w:t xml:space="preserve">3.4 Test manuel de 2 semaines (sans application)</w:t>
      </w:r>
    </w:p>
    <w:p>
      <w:pPr>
        <w:keepLines/>
        <w:spacing w:after="110" w:before="0" w:line="276"/>
      </w:pPr>
      <w:r>
        <w:rPr>
          <w:rFonts w:ascii="Arial" w:cs="Arial" w:eastAsia="Arial" w:hAnsi="Arial"/>
          <w:color w:val="1D2A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D2A24"/>
          <w:sz w:val="20"/>
          <w:szCs w:val="20"/>
        </w:rPr>
        <w:t xml:space="preserve">Objectif</w:t>
      </w:r>
      <w:r>
        <w:rPr>
          <w:rFonts w:ascii="Arial" w:cs="Arial" w:eastAsia="Arial" w:hAnsi="Arial"/>
          <w:color w:val="1D2A24"/>
          <w:sz w:val="20"/>
          <w:szCs w:val="20"/>
        </w:rPr>
        <w:t xml:space="preserve"> : vérifier si de vraies personnes demandent et paient un service, avant tout investissement supplémentaire. </w:t>
      </w:r>
      <w:r>
        <w:rPr>
          <w:rFonts w:ascii="Arial" w:cs="Arial" w:eastAsia="Arial" w:hAnsi="Arial"/>
          <w:b/>
          <w:bCs/>
          <w:color w:val="1D2A24"/>
          <w:sz w:val="20"/>
          <w:szCs w:val="20"/>
        </w:rPr>
        <w:t xml:space="preserve">Principe</w:t>
      </w:r>
      <w:r>
        <w:rPr>
          <w:rFonts w:ascii="Arial" w:cs="Arial" w:eastAsia="Arial" w:hAnsi="Arial"/>
          <w:color w:val="1D2A24"/>
          <w:sz w:val="20"/>
          <w:szCs w:val="20"/>
        </w:rPr>
        <w:t xml:space="preserve"> : un numéro WhatsApp, 3 à 5 prestataires de votre réseau (dont un par métier testé), 1 ou 2 quartiers.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5975"/>
        <w:gridCol w:w="2892"/>
      </w:tblGrid>
      <w:tr>
        <w:trPr>
          <w:cantSplit/>
          <w:tblHeader/>
        </w:trPr>
        <w:tc>
          <w:tcPr>
            <w:tcW w:type="dxa" w:w="771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0F6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Étape</w:t>
            </w:r>
          </w:p>
        </w:tc>
        <w:tc>
          <w:tcPr>
            <w:tcW w:type="dxa" w:w="5975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0F6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892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0F6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Mesure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7"/>
                <w:szCs w:val="17"/>
              </w:rPr>
              <w:t xml:space="preserve">1</w:t>
            </w:r>
          </w:p>
        </w:tc>
        <w:tc>
          <w:tcPr>
            <w:tcW w:type="dxa" w:w="5975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7"/>
                <w:szCs w:val="17"/>
              </w:rPr>
              <w:t xml:space="preserve">Annoncer le service par le bouche-à-oreille et un message WhatsApp dans les quartiers choisis, sans promesse de gratuité</w:t>
            </w:r>
          </w:p>
        </w:tc>
        <w:tc>
          <w:tcPr>
            <w:tcW w:type="dxa" w:w="2892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7"/>
                <w:szCs w:val="17"/>
              </w:rPr>
              <w:t xml:space="preserve">Nombre de demandes reçues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7"/>
                <w:szCs w:val="17"/>
              </w:rPr>
              <w:t xml:space="preserve">2</w:t>
            </w:r>
          </w:p>
        </w:tc>
        <w:tc>
          <w:tcPr>
            <w:tcW w:type="dxa" w:w="5975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7"/>
                <w:szCs w:val="17"/>
              </w:rPr>
              <w:t xml:space="preserve">Répondre avec un prix annoncé (fourchette) et un créneau dans l’heure</w:t>
            </w:r>
          </w:p>
        </w:tc>
        <w:tc>
          <w:tcPr>
            <w:tcW w:type="dxa" w:w="2892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7"/>
                <w:szCs w:val="17"/>
              </w:rPr>
              <w:t xml:space="preserve">Délai de réponse ; demandes acceptées / refusées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7"/>
                <w:szCs w:val="17"/>
              </w:rPr>
              <w:t xml:space="preserve">3</w:t>
            </w:r>
          </w:p>
        </w:tc>
        <w:tc>
          <w:tcPr>
            <w:tcW w:type="dxa" w:w="5975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7"/>
                <w:szCs w:val="17"/>
              </w:rPr>
              <w:t xml:space="preserve">Confier la mission à un prestataire, noter la durée, le prix payé, le résultat</w:t>
            </w:r>
          </w:p>
        </w:tc>
        <w:tc>
          <w:tcPr>
            <w:tcW w:type="dxa" w:w="2892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7"/>
                <w:szCs w:val="17"/>
              </w:rPr>
              <w:t xml:space="preserve">Missions réalisées ; incidents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7"/>
                <w:szCs w:val="17"/>
              </w:rPr>
              <w:t xml:space="preserve">4</w:t>
            </w:r>
          </w:p>
        </w:tc>
        <w:tc>
          <w:tcPr>
            <w:tcW w:type="dxa" w:w="5975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7"/>
                <w:szCs w:val="17"/>
              </w:rPr>
              <w:t xml:space="preserve">Rappeler le client à 48 h : satisfaction, problème, prêt à recommander</w:t>
            </w:r>
          </w:p>
        </w:tc>
        <w:tc>
          <w:tcPr>
            <w:tcW w:type="dxa" w:w="2892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7"/>
                <w:szCs w:val="17"/>
              </w:rPr>
              <w:t xml:space="preserve">Taux de satisfaction ; nouvelle demande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7"/>
                <w:szCs w:val="17"/>
              </w:rPr>
              <w:t xml:space="preserve">5</w:t>
            </w:r>
          </w:p>
        </w:tc>
        <w:tc>
          <w:tcPr>
            <w:tcW w:type="dxa" w:w="5975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7"/>
                <w:szCs w:val="17"/>
              </w:rPr>
              <w:t xml:space="preserve">Observer si le client ou le prestataire se rappellent directement</w:t>
            </w:r>
          </w:p>
        </w:tc>
        <w:tc>
          <w:tcPr>
            <w:tcW w:type="dxa" w:w="2892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7"/>
                <w:szCs w:val="17"/>
              </w:rPr>
              <w:t xml:space="preserve">Taux de contournement (hypothèse H6)</w:t>
            </w:r>
          </w:p>
        </w:tc>
      </w:tr>
    </w:tbl>
    <w:p>
      <w:pPr>
        <w:spacing w:after="60"/>
      </w:pPr>
    </w:p>
    <w:p>
      <w:pPr>
        <w:keepLines/>
        <w:spacing w:after="110" w:before="0" w:line="276"/>
      </w:pPr>
      <w:r>
        <w:rPr>
          <w:rFonts w:ascii="Arial" w:cs="Arial" w:eastAsia="Arial" w:hAnsi="Arial"/>
          <w:color w:val="1D2A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D2A24"/>
          <w:sz w:val="20"/>
          <w:szCs w:val="20"/>
        </w:rPr>
        <w:t xml:space="preserve">Appels « client mystère »</w:t>
      </w:r>
      <w:r>
        <w:rPr>
          <w:rFonts w:ascii="Arial" w:cs="Arial" w:eastAsia="Arial" w:hAnsi="Arial"/>
          <w:color w:val="1D2A24"/>
          <w:sz w:val="20"/>
          <w:szCs w:val="20"/>
        </w:rPr>
        <w:t xml:space="preserve"> (1 journée) : appelez 5 pressings, 5 artisans et 5 services de livraison de votre zone, demandez un prix pour une même prestation, notez prix, délai et attitude. Cela donne les premiers prix réels de comparaison. </w:t>
      </w:r>
      <w:r>
        <w:rPr>
          <w:rFonts w:ascii="Arial" w:cs="Arial" w:eastAsia="Arial" w:hAnsi="Arial"/>
          <w:b/>
          <w:bCs/>
          <w:color w:val="1D2A24"/>
          <w:sz w:val="20"/>
          <w:szCs w:val="20"/>
        </w:rPr>
        <w:t xml:space="preserve">Essai des concurrents</w:t>
      </w:r>
      <w:r>
        <w:rPr>
          <w:rFonts w:ascii="Arial" w:cs="Arial" w:eastAsia="Arial" w:hAnsi="Arial"/>
          <w:color w:val="1D2A24"/>
          <w:sz w:val="20"/>
          <w:szCs w:val="20"/>
        </w:rPr>
        <w:t xml:space="preserve"> : installez Niafey, Bridger et Yango, passez une commande réelle ou simulée, notez les prix, les délais et les points faibles.</w:t>
      </w:r>
    </w:p>
    <w:p>
      <w:pPr>
        <w:pStyle w:val="Heading2"/>
      </w:pPr>
      <w:r>
        <w:rPr>
          <w:rFonts w:ascii="Arial" w:cs="Arial" w:eastAsia="Arial" w:hAnsi="Arial"/>
        </w:rPr>
        <w:t xml:space="preserve">3.5 Fiche de notes (un exemplaire par entretien)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7"/>
        <w:gridCol w:w="5591"/>
      </w:tblGrid>
      <w:tr>
        <w:trPr>
          <w:cantSplit/>
          <w:tblHeader/>
        </w:trPr>
        <w:tc>
          <w:tcPr>
            <w:tcW w:type="dxa" w:w="4047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0F6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Champ</w:t>
            </w:r>
          </w:p>
        </w:tc>
        <w:tc>
          <w:tcPr>
            <w:tcW w:type="dxa" w:w="5591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0F6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À noter</w:t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ECF7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color w:val="1D2A24"/>
                <w:sz w:val="17"/>
                <w:szCs w:val="17"/>
              </w:rPr>
              <w:t xml:space="preserve">Numéro, date, quartier</w:t>
            </w:r>
          </w:p>
        </w:tc>
        <w:tc>
          <w:tcPr>
            <w:tcW w:type="dxa" w:w="5591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 w:val="false"/>
                <w:bCs w:val="false"/>
                <w:color w:val="1D2A24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ECF7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color w:val="1D2A24"/>
                <w:sz w:val="17"/>
                <w:szCs w:val="17"/>
              </w:rPr>
              <w:t xml:space="preserve">Type (client / prestataire) et métier</w:t>
            </w:r>
          </w:p>
        </w:tc>
        <w:tc>
          <w:tcPr>
            <w:tcW w:type="dxa" w:w="5591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 w:val="false"/>
                <w:bCs w:val="false"/>
                <w:color w:val="1D2A24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ECF7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color w:val="1D2A24"/>
                <w:sz w:val="17"/>
                <w:szCs w:val="17"/>
              </w:rPr>
              <w:t xml:space="preserve">Besoin récent décrit (oui / non) et date</w:t>
            </w:r>
          </w:p>
        </w:tc>
        <w:tc>
          <w:tcPr>
            <w:tcW w:type="dxa" w:w="5591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 w:val="false"/>
                <w:bCs w:val="false"/>
                <w:color w:val="1D2A24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ECF7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color w:val="1D2A24"/>
                <w:sz w:val="17"/>
                <w:szCs w:val="17"/>
              </w:rPr>
              <w:t xml:space="preserve">Moyen utilisé pour trouver un prestataire</w:t>
            </w:r>
          </w:p>
        </w:tc>
        <w:tc>
          <w:tcPr>
            <w:tcW w:type="dxa" w:w="5591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 w:val="false"/>
                <w:bCs w:val="false"/>
                <w:color w:val="1D2A24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ECF7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color w:val="1D2A24"/>
                <w:sz w:val="17"/>
                <w:szCs w:val="17"/>
              </w:rPr>
              <w:t xml:space="preserve">Délai, prix payé, problème rencontré</w:t>
            </w:r>
          </w:p>
        </w:tc>
        <w:tc>
          <w:tcPr>
            <w:tcW w:type="dxa" w:w="5591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 w:val="false"/>
                <w:bCs w:val="false"/>
                <w:color w:val="1D2A24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ECF7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color w:val="1D2A24"/>
                <w:sz w:val="17"/>
                <w:szCs w:val="17"/>
              </w:rPr>
              <w:t xml:space="preserve">Citations marquantes (mots exacts)</w:t>
            </w:r>
          </w:p>
        </w:tc>
        <w:tc>
          <w:tcPr>
            <w:tcW w:type="dxa" w:w="5591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 w:val="false"/>
                <w:bCs w:val="false"/>
                <w:color w:val="1D2A24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ECF7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color w:val="1D2A24"/>
                <w:sz w:val="17"/>
                <w:szCs w:val="17"/>
              </w:rPr>
              <w:t xml:space="preserve">Frein principal exprimé</w:t>
            </w:r>
          </w:p>
        </w:tc>
        <w:tc>
          <w:tcPr>
            <w:tcW w:type="dxa" w:w="5591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 w:val="false"/>
                <w:bCs w:val="false"/>
                <w:color w:val="1D2A24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ECF7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color w:val="1D2A24"/>
                <w:sz w:val="17"/>
                <w:szCs w:val="17"/>
              </w:rPr>
              <w:t xml:space="preserve">Prix ou supplément que la personne dit accepter</w:t>
            </w:r>
          </w:p>
        </w:tc>
        <w:tc>
          <w:tcPr>
            <w:tcW w:type="dxa" w:w="5591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 w:val="false"/>
                <w:bCs w:val="false"/>
                <w:color w:val="1D2A24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ECF7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color w:val="1D2A24"/>
                <w:sz w:val="17"/>
                <w:szCs w:val="17"/>
              </w:rPr>
              <w:t xml:space="preserve">Signal d’intérêt réel : accepte un test, donne un nom, demande à être rappelée (oui / non)</w:t>
            </w:r>
          </w:p>
        </w:tc>
        <w:tc>
          <w:tcPr>
            <w:tcW w:type="dxa" w:w="5591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 w:val="false"/>
                <w:bCs w:val="false"/>
                <w:color w:val="1D2A24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ECF7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color w:val="1D2A24"/>
                <w:sz w:val="17"/>
                <w:szCs w:val="17"/>
              </w:rPr>
              <w:t xml:space="preserve">Fiabilité de la réponse (1 à 3) : détaillée et factuelle ou vague ?</w:t>
            </w:r>
          </w:p>
        </w:tc>
        <w:tc>
          <w:tcPr>
            <w:tcW w:type="dxa" w:w="5591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 w:val="false"/>
                <w:bCs w:val="false"/>
                <w:color w:val="1D2A24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3.6 Comment conclure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3469"/>
        <w:gridCol w:w="2893"/>
      </w:tblGrid>
      <w:tr>
        <w:trPr>
          <w:cantSplit/>
          <w:tblHeader/>
        </w:trPr>
        <w:tc>
          <w:tcPr>
            <w:tcW w:type="dxa" w:w="3276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0F6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Résultat</w:t>
            </w:r>
          </w:p>
        </w:tc>
        <w:tc>
          <w:tcPr>
            <w:tcW w:type="dxa" w:w="3469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0F6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Lecture proposée</w:t>
            </w:r>
          </w:p>
        </w:tc>
        <w:tc>
          <w:tcPr>
            <w:tcW w:type="dxa" w:w="2893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0F6B4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Décision possible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Au moins 5 hypothèses sur 8 confirmées, dont H1, H3 et H5</w:t>
            </w:r>
          </w:p>
        </w:tc>
        <w:tc>
          <w:tcPr>
            <w:tcW w:type="dxa" w:w="3469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Le besoin existe et le test manuel montre une demande réelle</w:t>
            </w:r>
          </w:p>
        </w:tc>
        <w:tc>
          <w:tcPr>
            <w:tcW w:type="dxa" w:w="2893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Passer à l’étape suivante : plan détaillé, budget du pilote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Besoin confirmé (H1) mais clients non payeurs (H3 ou H4 infirmées)</w:t>
            </w:r>
          </w:p>
        </w:tc>
        <w:tc>
          <w:tcPr>
            <w:tcW w:type="dxa" w:w="3469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Problème réel mais valeur non monétisable avec ce modèle</w:t>
            </w:r>
          </w:p>
        </w:tc>
        <w:tc>
          <w:tcPr>
            <w:tcW w:type="dxa" w:w="2893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Changer le modèle (abonnement prestataires, B2B) ou le segment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Besoin faible ou déjà bien couvert (H1 ou H2 infirmées)</w:t>
            </w:r>
          </w:p>
        </w:tc>
        <w:tc>
          <w:tcPr>
            <w:tcW w:type="dxa" w:w="3469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Pas de raison forte de créer le service</w:t>
            </w:r>
          </w:p>
        </w:tc>
        <w:tc>
          <w:tcPr>
            <w:tcW w:type="dxa" w:w="2893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Changer de segment ou de service, reporter, ou arrêter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Prestataires contournent la plateforme (H6 infirmée)</w:t>
            </w:r>
          </w:p>
        </w:tc>
        <w:tc>
          <w:tcPr>
            <w:tcW w:type="dxa" w:w="3469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La commission n’est pas encaissable</w:t>
            </w:r>
          </w:p>
        </w:tc>
        <w:tc>
          <w:tcPr>
            <w:tcW w:type="dxa" w:w="2893"/>
            <w:tcBorders>
              <w:top w:val="single" w:color="BFD6CA" w:sz="4"/>
              <w:left w:val="single" w:color="BFD6CA" w:sz="4"/>
              <w:bottom w:val="single" w:color="BFD6CA" w:sz="4"/>
              <w:right w:val="single" w:color="BFD6CA" w:sz="4"/>
            </w:tcBorders>
            <w:shd w:fill="F8F4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color w:val="1D2A24"/>
                <w:sz w:val="16"/>
                <w:szCs w:val="16"/>
              </w:rPr>
              <w:t xml:space="preserve">Modèle par abonnement, ou services où le contournement est difficile</w:t>
            </w:r>
          </w:p>
        </w:tc>
      </w:tr>
    </w:tbl>
    <w:p>
      <w:pPr>
        <w:spacing w:after="60"/>
      </w:pPr>
    </w:p>
    <w:p>
      <w:pPr>
        <w:keepLines/>
        <w:spacing w:after="110" w:before="0" w:line="276"/>
      </w:pPr>
      <w:r>
        <w:rPr>
          <w:rFonts w:ascii="Arial" w:cs="Arial" w:eastAsia="Arial" w:hAnsi="Arial"/>
          <w:color w:val="1D2A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D2A24"/>
          <w:sz w:val="20"/>
          <w:szCs w:val="20"/>
        </w:rPr>
        <w:t xml:space="preserve">Rappel</w:t>
      </w:r>
      <w:r>
        <w:rPr>
          <w:rFonts w:ascii="Arial" w:cs="Arial" w:eastAsia="Arial" w:hAnsi="Arial"/>
          <w:color w:val="1D2A24"/>
          <w:sz w:val="20"/>
          <w:szCs w:val="20"/>
        </w:rPr>
        <w:t xml:space="preserve"> : un client qui dit « c’est intéressant » n’a pas encore acheté. Seuls comptent les </w:t>
      </w:r>
      <w:r>
        <w:rPr>
          <w:rFonts w:ascii="Arial" w:cs="Arial" w:eastAsia="Arial" w:hAnsi="Arial"/>
          <w:b/>
          <w:bCs/>
          <w:color w:val="1D2A24"/>
          <w:sz w:val="20"/>
          <w:szCs w:val="20"/>
        </w:rPr>
        <w:t xml:space="preserve">faits passés</w:t>
      </w:r>
      <w:r>
        <w:rPr>
          <w:rFonts w:ascii="Arial" w:cs="Arial" w:eastAsia="Arial" w:hAnsi="Arial"/>
          <w:color w:val="1D2A24"/>
          <w:sz w:val="20"/>
          <w:szCs w:val="20"/>
        </w:rPr>
        <w:t xml:space="preserve">, les </w:t>
      </w:r>
      <w:r>
        <w:rPr>
          <w:rFonts w:ascii="Arial" w:cs="Arial" w:eastAsia="Arial" w:hAnsi="Arial"/>
          <w:b/>
          <w:bCs/>
          <w:color w:val="1D2A24"/>
          <w:sz w:val="20"/>
          <w:szCs w:val="20"/>
        </w:rPr>
        <w:t xml:space="preserve">commandes réelles</w:t>
      </w:r>
      <w:r>
        <w:rPr>
          <w:rFonts w:ascii="Arial" w:cs="Arial" w:eastAsia="Arial" w:hAnsi="Arial"/>
          <w:color w:val="1D2A24"/>
          <w:sz w:val="20"/>
          <w:szCs w:val="20"/>
        </w:rPr>
        <w:t xml:space="preserve"> et les </w:t>
      </w:r>
      <w:r>
        <w:rPr>
          <w:rFonts w:ascii="Arial" w:cs="Arial" w:eastAsia="Arial" w:hAnsi="Arial"/>
          <w:b/>
          <w:bCs/>
          <w:color w:val="1D2A24"/>
          <w:sz w:val="20"/>
          <w:szCs w:val="20"/>
        </w:rPr>
        <w:t xml:space="preserve">paiements effectués</w:t>
      </w:r>
      <w:r>
        <w:rPr>
          <w:rFonts w:ascii="Arial" w:cs="Arial" w:eastAsia="Arial" w:hAnsi="Arial"/>
          <w:color w:val="1D2A24"/>
          <w:sz w:val="20"/>
          <w:szCs w:val="20"/>
        </w:rPr>
        <w:t xml:space="preserve">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6CA" w:sz="4" w:space="6"/>
      </w:pBdr>
      <w:tabs>
        <w:tab w:val="right" w:pos="9638"/>
      </w:tabs>
    </w:pPr>
    <w:r>
      <w:rPr>
        <w:rFonts w:ascii="Arial" w:cs="Arial" w:eastAsia="Arial" w:hAnsi="Arial"/>
        <w:color w:val="5B6B63"/>
        <w:sz w:val="16"/>
        <w:szCs w:val="16"/>
      </w:rPr>
      <w:t xml:space="preserve">Dalokeur (nom de travail) — Recherche préliminaire et guides d’entretien — Confidentiel</w:t>
    </w:r>
    <w:r>
      <w:rPr>
        <w:rFonts w:ascii="Arial" w:cs="Arial" w:eastAsia="Arial" w:hAnsi="Arial"/>
        <w:color w:val="5B6B63"/>
        <w:sz w:val="16"/>
        <w:szCs w:val="16"/>
      </w:rPr>
      <w:tab/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00"/>
      <w:outlineLvl w:val="0"/>
    </w:pPr>
    <w:rPr>
      <w:rFonts w:ascii="Arial" w:cs="Arial" w:eastAsia="Arial" w:hAnsi="Arial"/>
      <w:b/>
      <w:bCs/>
      <w:color w:val="0F6B4D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color w:val="0F6B4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70" w:before="180"/>
      <w:outlineLvl w:val="2"/>
    </w:pPr>
    <w:rPr>
      <w:rFonts w:ascii="Arial" w:cs="Arial" w:eastAsia="Arial" w:hAnsi="Arial"/>
      <w:b/>
      <w:bCs/>
      <w:color w:val="1D2A2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sh5omfrytgk375acp8gt-" Type="http://schemas.openxmlformats.org/officeDocument/2006/relationships/hyperlink" Target="https://www.ansd.sn/actualite/les-principaux-resultats-du-5e-recensement-general-de-la-population-et-de-lhabitat-du" TargetMode="External"/><Relationship Id="rId0nb4czjump1nzc-jt9m4r" Type="http://schemas.openxmlformats.org/officeDocument/2006/relationships/hyperlink" Target="https://www.vie-publique.sn/collectivites-territoriales/departements/pikine" TargetMode="External"/><Relationship Id="rIdu4-elw3q7kxe6hnnth0xc" Type="http://schemas.openxmlformats.org/officeDocument/2006/relationships/hyperlink" Target="https://datareportal.com/reports/digital-2025-senegal" TargetMode="External"/><Relationship Id="rIdlpke10-spgjboiq3me6xk" Type="http://schemas.openxmlformats.org/officeDocument/2006/relationships/hyperlink" Target="https://datareportal.com/reports/digital-2026-senegal" TargetMode="External"/><Relationship Id="rIda7bm6wlx-agvaz1ksizr9" Type="http://schemas.openxmlformats.org/officeDocument/2006/relationships/hyperlink" Target="https://www.vie-publique.sn/documents/10287/enquete-regionale-integree-sur-lemploi-et-le-secteur-informel-senegal-2017-ansd" TargetMode="External"/><Relationship Id="rIdrdxb-wgvlius_esabeovg" Type="http://schemas.openxmlformats.org/officeDocument/2006/relationships/hyperlink" Target="https://vc4a.com/ventures/niafey/?lang=en" TargetMode="External"/><Relationship Id="rIdf2jsmzvlx9kzduudpkp89" Type="http://schemas.openxmlformats.org/officeDocument/2006/relationships/hyperlink" Target="https://www.dakaractu.com/Yango-Delivery-lance-l-offre-Cargo-pour-les-colis-volumineux-a-Dakar_a257426.html" TargetMode="External"/><Relationship Id="rId4lj21jdyj2y90gdqvf7js" Type="http://schemas.openxmlformats.org/officeDocument/2006/relationships/hyperlink" Target="https://osiris.sn/san-traore-country-manager-yango-delivery-senegal-notre-ambition-est-de.html" TargetMode="External"/><Relationship Id="rIdf-vncvucu91lcu6xrc-cf" Type="http://schemas.openxmlformats.org/officeDocument/2006/relationships/hyperlink" Target="https://senego.com/restauration-et-numerique-yango-food-delivery-debarque-au-senegal_1804663.html" TargetMode="External"/><Relationship Id="rIdt9x_krv-hwwp8srmujl5l" Type="http://schemas.openxmlformats.org/officeDocument/2006/relationships/hyperlink" Target="https://osiris.sn/Demarrage-officiel-des-activites.html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Dalokeur — Recherche préliminaire et guides d’entretien</dc:title>
  <dc:creator>Dalokeur</dc:creator>
  <cp:lastModifiedBy>Un-named</cp:lastModifiedBy>
  <cp:revision>1</cp:revision>
  <dcterms:created xsi:type="dcterms:W3CDTF">2026-10-21T11:04:56.303Z</dcterms:created>
  <dcterms:modified xsi:type="dcterms:W3CDTF">2026-10-21T11:04:56.304Z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