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tinyRAG 代码质量评估报告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64748B"/>
          <w:sz w:val="20"/>
          <w:szCs w:val="20"/>
        </w:rPr>
        <w:t xml:space="preserve">版本: v0.3.3 | 评估日期: 2026-04-08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项目概述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代码统计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2. 综合评分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3. 架构设计评估（90 分）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优势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待改进项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4. 代码规范评估（85 分）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5. 错误处理评估（80 分）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6. 性能优化评估（75 分）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7. 安全性评估（85 分）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8. 可维护性评估（70 分）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9. 文档与测试评估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10. 改进建议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11. 结论</w:t>
          </w:r>
          <w:r>
            <w:tab/>
          </w:r>
          <w:r>
            <w:t>7</w:t>
          </w:r>
        </w:p>
        <w:p>
          <w:r>
            <w:fldChar w:fldCharType="end"/>
          </w:r>
        </w:p>
      </w:sdtContent>
    </w:sdt>
    <w:p>
      <w:pPr>
        <w:spacing w:after="3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（右键点击目录选择“更新域”可刷新页码）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line="312"/>
        <w:ind w:firstLine="480"/>
      </w:pPr>
      <w:r>
        <w:rPr>
          <w:rFonts w:ascii="SimSun" w:cs="SimSun" w:eastAsia="SimSun" w:hAnsi="SimSun"/>
        </w:rPr>
        <w:t xml:space="preserve">tinyRAG 是一个轻量级中文 RAG（检索增强生成）系统，专为 Obsidian/NanobotMemory 等 Markdown 知识库设计。项目采用 Python 开发，支持 MCP 协议，提供了完整的文档索引、混合检索和知识管理功能。</w:t>
      </w:r>
    </w:p>
    <w:p>
      <w:pPr>
        <w:spacing w:line="312"/>
        <w:ind w:firstLine="480"/>
      </w:pPr>
      <w:r>
        <w:rPr>
          <w:rFonts w:ascii="SimSun" w:cs="SimSun" w:eastAsia="SimSun" w:hAnsi="SimSun"/>
        </w:rPr>
        <w:t xml:space="preserve">本次评估从架构设计、代码规范、错误处理、性能优化、安全性、可维护性、文档质量和测试覆盖八个维度进行全面分析，旨在识别项目优势与改进空间，为后续开发提供参考建议。</w:t>
      </w:r>
    </w:p>
    <w:p>
      <w:pPr>
        <w:pStyle w:val="Heading2"/>
      </w:pPr>
      <w:r>
        <w:t xml:space="preserve">1.1 代码统计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Python 文件数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21 个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总代码行数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3,224 行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模块数量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 个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类型注解覆盖率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52 处函数类型注解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异常处理块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54 个 try 块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日志调用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139 处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64748B"/>
          <w:sz w:val="18"/>
          <w:szCs w:val="18"/>
        </w:rPr>
        <w:t xml:space="preserve">表 1：代码基础统计数据</w:t>
      </w:r>
    </w:p>
    <w:p>
      <w:pPr>
        <w:pStyle w:val="Heading1"/>
      </w:pPr>
      <w:r>
        <w:t xml:space="preserve">2. 综合评分</w:t>
      </w:r>
    </w:p>
    <w:p>
      <w:pPr>
        <w:spacing w:line="312"/>
        <w:ind w:firstLine="480"/>
      </w:pPr>
      <w:r>
        <w:rPr>
          <w:rFonts w:ascii="SimSun" w:cs="SimSun" w:eastAsia="SimSun" w:hAnsi="SimSun"/>
        </w:rPr>
        <w:t xml:space="preserve">基于八个维度的评估结果，项目整体代码质量得分为 </w:t>
      </w:r>
      <w:r>
        <w:rPr>
          <w:rFonts w:ascii="SimHei" w:cs="SimHei" w:eastAsia="SimHei" w:hAnsi="SimHei"/>
          <w:b/>
          <w:bCs/>
          <w:color w:val="059669"/>
        </w:rPr>
        <w:t xml:space="preserve">72 分</w:t>
      </w:r>
      <w:r>
        <w:rPr>
          <w:rFonts w:ascii="SimSun" w:cs="SimSun" w:eastAsia="SimSun" w:hAnsi="SimSun"/>
        </w:rPr>
        <w:t xml:space="preserve">，属于「良好」水平。项目在架构设计和安全性方面表现优异，但在测试覆盖率和文档完整性方面存在明显不足。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390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评估维度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评分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评级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架构设计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90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059669"/>
                <w:sz w:val="21"/>
                <w:szCs w:val="21"/>
              </w:rPr>
              <w:t xml:space="preserve">优秀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代码规范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85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059669"/>
                <w:sz w:val="21"/>
                <w:szCs w:val="21"/>
              </w:rPr>
              <w:t xml:space="preserve">优秀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错误处理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80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D97706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性能优化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75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D97706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安全性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85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059669"/>
                <w:sz w:val="21"/>
                <w:szCs w:val="21"/>
              </w:rPr>
              <w:t xml:space="preserve">优秀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可维护性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70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D97706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文档质量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60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DC2626"/>
                <w:sz w:val="21"/>
                <w:szCs w:val="21"/>
              </w:rPr>
              <w:t xml:space="preserve">及格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测试覆盖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30 分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SimHei" w:cs="SimHei" w:eastAsia="SimHei" w:hAnsi="SimHei"/>
                <w:color w:val="DC2626"/>
                <w:sz w:val="21"/>
                <w:szCs w:val="21"/>
              </w:rPr>
              <w:t xml:space="preserve">待改进</w:t>
            </w:r>
          </w:p>
        </w:tc>
      </w:tr>
    </w:tbl>
    <w:p>
      <w:pPr>
        <w:spacing w:after="300" w:before="100"/>
        <w:jc w:val="center"/>
      </w:pPr>
      <w:r>
        <w:rPr>
          <w:rFonts w:ascii="SimSun" w:cs="SimSun" w:eastAsia="SimSun" w:hAnsi="SimSun"/>
          <w:color w:val="64748B"/>
          <w:sz w:val="18"/>
          <w:szCs w:val="18"/>
        </w:rPr>
        <w:t xml:space="preserve">表 2：各维度评分详情</w:t>
      </w:r>
    </w:p>
    <w:p>
      <w:pPr>
        <w:pStyle w:val="Heading1"/>
      </w:pPr>
      <w:r>
        <w:t xml:space="preserve">3. 架构设计评估（90 分）</w:t>
      </w:r>
    </w:p>
    <w:p>
      <w:pPr>
        <w:pStyle w:val="Heading2"/>
      </w:pPr>
      <w:r>
        <w:t xml:space="preserve">3.1 优势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</w:rPr>
        <w:t xml:space="preserve">模块化设计清晰：项目采用分层架构，storage/scanner/chunker/embedder/retriever/mcp_server 各司其职，职责单一，耦合度低。每个模块都有明确的 __init__.py 导出接口，便于外部调用。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</w:rPr>
        <w:t xml:space="preserve">配置管理规范：使用 Pydantic v2 进行强类型配置校验，支持 YAML 配置文件，路径自动展开（~ 转绝对路径），配置项结构清晰，包含默认值和校验逻辑。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</w:rPr>
        <w:t xml:space="preserve">异步架构支持：MCP 服务层采用 asyncio 异步设计，使用 asyncio.Lock 保证线程安全，后台任务通过 asyncio.to_thread 避免阻塞事件循环。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</w:rPr>
        <w:t xml:space="preserve">扩展性良好：采用工厂模式（model_factory）和策略模式（hybrid_engine 的检索模式切换），便于后续扩展新的嵌入模型或检索策略。</w:t>
      </w:r>
    </w:p>
    <w:p>
      <w:pPr>
        <w:pStyle w:val="Heading2"/>
      </w:pPr>
      <w:r>
        <w:t xml:space="preserve">3.2 待改进项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依赖注入缺失：当前各模块通过直接实例化依赖组件，建议引入依赖注入框架（如 dependency-injector）以提升可测试性和模块解耦程度。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接口抽象不足：DatabaseManager 和 HybridEngine 等核心类缺少抽象基类，难以实现 mock 测试或替换实现。</w:t>
      </w:r>
    </w:p>
    <w:p>
      <w:pPr>
        <w:pStyle w:val="Heading1"/>
      </w:pPr>
      <w:r>
        <w:t xml:space="preserve">4. 代码规范评估（85 分）</w:t>
      </w:r>
    </w:p>
    <w:p>
      <w:pPr>
        <w:pStyle w:val="Heading2"/>
      </w:pPr>
      <w:r>
        <w:t xml:space="preserve">4.1 优势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</w:rPr>
        <w:t xml:space="preserve">类型注解广泛使用：52 处函数使用返回值类型注解，参数类型注解覆盖率高，有利于 IDE 提示和静态类型检查。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</w:rPr>
        <w:t xml:space="preserve">无 bare except：所有异常处理都指定了具体异常类型，避免捕获不预期的异常。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</w:rPr>
        <w:t xml:space="preserve">命名规范：变量和函数命名遵循 PEP 8，使用 snake_case，类名使用 PascalCase，常量使用全大写。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</w:rPr>
        <w:t xml:space="preserve">dataclass 使用：多处使用 @dataclass 简化数据类定义（如 RetrievalResult、FileMeta、MoveEvent），代码简洁。</w:t>
      </w:r>
    </w:p>
    <w:p>
      <w:pPr>
        <w:pStyle w:val="Heading2"/>
      </w:pPr>
      <w:r>
        <w:t xml:space="preserve">4.2 待改进项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部分魔法数字：存在少量硬编码数值如 500（缓存大小）、3600（TTL）、365（默认天数），建议抽取为配置项或常量。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日志格式不统一：部分模块使用 loguru.logger，部分使用自定义 setup_logger，建议统一日志管理策略。</w:t>
      </w:r>
    </w:p>
    <w:p>
      <w:pPr>
        <w:pStyle w:val="Heading1"/>
      </w:pPr>
      <w:r>
        <w:t xml:space="preserve">5. 错误处理评估（80 分）</w:t>
      </w:r>
    </w:p>
    <w:p>
      <w:pPr>
        <w:pStyle w:val="Heading2"/>
      </w:pPr>
      <w:r>
        <w:t xml:space="preserve">5.1 优势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</w:rPr>
        <w:t xml:space="preserve">异常处理全面：54 个 try-except 块覆盖关键操作，包括数据库操作、文件 I/O、网络请求等。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</w:rPr>
        <w:t xml:space="preserve">事务回滚机制：数据库操作使用事务，失败时自动回滚（如 scan_engine.process_report）。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</w:rPr>
        <w:t xml:space="preserve">优雅降级：sqlite-vec 加载失败时自动降级为 FTS5-only 模式，保证系统可用性。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rFonts w:ascii="SimSun" w:cs="SimSun" w:eastAsia="SimSun" w:hAnsi="SimSun"/>
        </w:rPr>
        <w:t xml:space="preserve">资源清理：finally 块确保数据库连接等资源正确释放，MCP 服务关闭时调用 shutdown 清理。</w:t>
      </w:r>
    </w:p>
    <w:p>
      <w:pPr>
        <w:pStyle w:val="Heading2"/>
      </w:pPr>
      <w:r>
        <w:t xml:space="preserve">5.2 待改进项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错误信息不够详细：部分异常仅记录 str(e)，建议记录完整堆栈信息或自定义异常类。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重试机制缺失：网络请求和外部资源访问缺少重试逻辑，建议引入 tenacity 等库实现自动重试。</w:t>
      </w:r>
    </w:p>
    <w:p>
      <w:pPr>
        <w:pStyle w:val="Heading1"/>
      </w:pPr>
      <w:r>
        <w:t xml:space="preserve">6. 性能优化评估（75 分）</w:t>
      </w:r>
    </w:p>
    <w:p>
      <w:pPr>
        <w:pStyle w:val="Heading2"/>
      </w:pPr>
      <w:r>
        <w:t xml:space="preserve">6.1 优势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</w:rPr>
        <w:t xml:space="preserve">批量处理：向量化采用批量处理（默认 batch_size=128），减少模型加载次数和网络开销。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</w:rPr>
        <w:t xml:space="preserve">模型延迟卸载：EmbeddingModel 支持 unload_after_seconds 配置，空闲时自动卸载模型释放内存。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</w:rPr>
        <w:t xml:space="preserve">双层缓存：检索结果同时写入内存 LRU 缓存和 SQLite 持久化缓存，命中率高。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rFonts w:ascii="SimSun" w:cs="SimSun" w:eastAsia="SimSun" w:hAnsi="SimSun"/>
        </w:rPr>
        <w:t xml:space="preserve">并行分块：build_index 使用 ThreadPoolExecutor 并行处理文件分块。</w:t>
      </w:r>
    </w:p>
    <w:p>
      <w:pPr>
        <w:pStyle w:val="Heading2"/>
      </w:pPr>
      <w:r>
        <w:t xml:space="preserve">6.2 待改进项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同步阻塞操作：数据库查询和模型推理在同步函数中执行，可能阻塞事件循环，建议全面采用异步 IO。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大文件处理：缺少流式处理大文件的机制，超大 Markdown 文件可能占用过多内存。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向量索引优化：sqlite-vec 未配置量化索引，大规模向量检索性能可能受限。</w:t>
      </w:r>
    </w:p>
    <w:p>
      <w:pPr>
        <w:pStyle w:val="Heading1"/>
      </w:pPr>
      <w:r>
        <w:t xml:space="preserve">7. 安全性评估（85 分）</w:t>
      </w:r>
    </w:p>
    <w:p>
      <w:pPr>
        <w:pStyle w:val="Heading2"/>
      </w:pPr>
      <w:r>
        <w:t xml:space="preserve">7.1 优势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SQL 注入防护：所有动态 SQL 使用参数化查询（placeholders），通过 f-string 仅拼接占位符而非用户输入。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FTS5 转义：escape_fts5_query 方法正确转义 FTS5 特殊字符，防止查询注入。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无 eval/exec：未使用危险的 eval 或 exec 函数。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线程安全：关键资源（模型加载、缓存访问）使用 Lock 保护，避免竞态条件。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错误信息脱敏：MCP 工具错误响应不暴露完整 traceback，仅返回简短错误信息。</w:t>
      </w:r>
    </w:p>
    <w:p>
      <w:pPr>
        <w:pStyle w:val="Heading2"/>
      </w:pPr>
      <w:r>
        <w:t xml:space="preserve">7.2 待改进项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路径遍历风险：文件路径处理未验证路径是否越出 vault 目录，恶意符号链接可能导致访问非授权文件。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输入验证不足：查询字符串缺少长度限制，超长查询可能导致资源耗尽。</w:t>
      </w:r>
    </w:p>
    <w:p>
      <w:pPr>
        <w:pStyle w:val="Heading1"/>
      </w:pPr>
      <w:r>
        <w:t xml:space="preserve">8. 可维护性评估（70 分）</w:t>
      </w:r>
    </w:p>
    <w:p>
      <w:pPr>
        <w:pStyle w:val="Heading2"/>
      </w:pPr>
      <w:r>
        <w:t xml:space="preserve">8.1 优势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模块结构清晰：按功能划分模块，便于定位和修改。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注释说明完善：代码中包含大量注释说明修复内容和设计意图。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配置外部化：关键参数通过 config.yaml 配置，无需修改代码即可调整。</w:t>
      </w:r>
    </w:p>
    <w:p>
      <w:pPr>
        <w:pStyle w:val="Heading2"/>
      </w:pPr>
      <w:r>
        <w:t xml:space="preserve">8.2 待改进项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缺少单元测试：项目无测试文件，代码变更风险高，建议使用 pytest 补充测试覆盖。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依赖管理：缺少 requirements.txt 或 pyproject.toml，依赖安装信息分散在注释中。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版本管理：代码中有多处修复注释但无版本历史记录，建议使用 Git 标签管理版本。</w:t>
      </w:r>
    </w:p>
    <w:p>
      <w:pPr>
        <w:pStyle w:val="Heading1"/>
      </w:pPr>
      <w:r>
        <w:t xml:space="preserve">9. 文档与测试评估</w:t>
      </w:r>
    </w:p>
    <w:p>
      <w:pPr>
        <w:pStyle w:val="Heading2"/>
      </w:pPr>
      <w:r>
        <w:t xml:space="preserve">9.1 文档质量（60 分）</w:t>
      </w:r>
    </w:p>
    <w:p>
      <w:pPr>
        <w:spacing w:line="312"/>
        <w:ind w:firstLine="480"/>
      </w:pPr>
      <w:r>
        <w:rPr>
          <w:rFonts w:ascii="SimSun" w:cs="SimSun" w:eastAsia="SimSun" w:hAnsi="SimSun"/>
        </w:rPr>
        <w:t xml:space="preserve">项目包含模块级 docstring，但函数级文档注释不够完善。主要问题包括：缺少 README.md 项目说明文档；缺少 API 文档生成配置（如 Sphinx）；配置文件缺少字段说明；CLI 帮助信息较为简略。</w:t>
      </w:r>
    </w:p>
    <w:p>
      <w:pPr>
        <w:pStyle w:val="Heading2"/>
      </w:pPr>
      <w:r>
        <w:t xml:space="preserve">9.2 测试覆盖（30 分）</w:t>
      </w:r>
    </w:p>
    <w:p>
      <w:pPr>
        <w:spacing w:line="312"/>
        <w:ind w:firstLine="480"/>
      </w:pPr>
      <w:r>
        <w:rPr>
          <w:rFonts w:ascii="SimSun" w:cs="SimSun" w:eastAsia="SimSun" w:hAnsi="SimSun"/>
        </w:rPr>
        <w:t xml:space="preserve">项目当前缺少任何测试代码，这是代码质量的最大短板。建议优先补充核心模块测试：storage 模块的数据库 CRUD 操作；scanner 模块的文件变更检测逻辑；retriever 模块的混合检索算法；chunker 模块的 Markdown 分块边界测试。</w:t>
      </w:r>
    </w:p>
    <w:p>
      <w:pPr>
        <w:pStyle w:val="Heading1"/>
      </w:pPr>
      <w:r>
        <w:t xml:space="preserve">10. 改进建议</w:t>
      </w:r>
    </w:p>
    <w:p>
      <w:pPr>
        <w:pStyle w:val="Heading2"/>
      </w:pPr>
      <w:r>
        <w:t xml:space="preserve">10.1 短期改进（1-2 周）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添加 requirements.txt 或 pyproject.toml 文件，明确依赖版本。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编写 README.md，包含安装、配置、使用示例。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抽取魔法数字为配置项或常量。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添加输入验证（查询长度限制、路径校验）。</w:t>
      </w:r>
    </w:p>
    <w:p>
      <w:pPr>
        <w:pStyle w:val="Heading2"/>
      </w:pPr>
      <w:r>
        <w:t xml:space="preserve">10.2 中期改进（1-2 月）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使用 pytest 编写核心模块单元测试，目标覆盖率 &gt; 70%。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引入依赖注入框架，提升可测试性。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为 DatabaseManager 和 HybridEngine 添加抽象基类。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配置 Sphinx 生成 API 文档。</w:t>
      </w:r>
    </w:p>
    <w:p>
      <w:pPr>
        <w:pStyle w:val="Heading2"/>
      </w:pPr>
      <w:r>
        <w:t xml:space="preserve">10.3 长期改进（3-6 月）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全面异步化：将数据库操作和模型推理迁移到异步接口。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引入向量索引量化（如 HNSW），提升大规模检索性能。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实现增量索引和分布式部署支持。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</w:rPr>
        <w:t xml:space="preserve">添加 CI/CD 流水线，自动化测试和发布。</w:t>
      </w:r>
    </w:p>
    <w:p>
      <w:pPr>
        <w:pStyle w:val="Heading1"/>
      </w:pPr>
      <w:r>
        <w:t xml:space="preserve">11. 结论</w:t>
      </w:r>
    </w:p>
    <w:p>
      <w:pPr>
        <w:spacing w:line="312"/>
        <w:ind w:firstLine="480"/>
      </w:pPr>
      <w:r>
        <w:rPr>
          <w:rFonts w:ascii="SimSun" w:cs="SimSun" w:eastAsia="SimSun" w:hAnsi="SimSun"/>
        </w:rPr>
        <w:t xml:space="preserve">tinyRAG 是一个架构清晰、功能完整的轻量级 RAG 系统，代码质量整体处于良好水平。项目在模块化设计、类型安全、错误处理和安全性方面表现优异，体现了开发者的工程素养。主要不足在于测试覆盖率和文档完整性，建议优先补充单元测试和 README 文档，以提升项目的可维护性和社区友好度。</w:t>
      </w:r>
    </w:p>
    <w:p>
      <w:pPr>
        <w:spacing w:line="312"/>
        <w:ind w:firstLine="480"/>
      </w:pPr>
      <w:r>
        <w:rPr>
          <w:rFonts w:ascii="SimSun" w:cs="SimSun" w:eastAsia="SimSun" w:hAnsi="SimSun"/>
        </w:rPr>
        <w:t xml:space="preserve">总体而言，项目适合作为个人知识管理工具或小型团队的内部 RAG 服务使用。随着测试和文档的完善，项目有望成为中文 RAG 领域的优秀开源实践参考。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4748B"/>
        <w:sz w:val="18"/>
        <w:szCs w:val="18"/>
      </w:rPr>
      <w:t xml:space="preserve">— </w:t>
    </w:r>
    <w:r>
      <w:rPr>
        <w:rFonts w:ascii="SimSun" w:cs="SimSun" w:eastAsia="SimSun" w:hAnsi="SimSu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4748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4748B"/>
        <w:sz w:val="18"/>
        <w:szCs w:val="18"/>
      </w:rPr>
      <w:t xml:space="preserve">tinyRAG 代码质量评估报告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imHei" w:cs="SimHei" w:eastAsia="SimHei" w:hAnsi="SimHei"/>
      <w:b/>
      <w:bCs/>
      <w:color w:val="0206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2026-04-08T07:15:04.087Z</dcterms:created>
  <dcterms:modified xsi:type="dcterms:W3CDTF">2026-04-08T07:15:04.087Z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