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Changes in Review State — Post-Implementation Analysis</w:t>
      </w:r>
    </w:p>
    <w:p>
      <w:pPr>
        <w:jc w:val="center"/>
      </w:pPr>
      <w:r>
        <w:rPr>
          <w:color w:val="595959"/>
          <w:sz w:val="24"/>
        </w:rPr>
        <w:t>Enterprise Change Management</w:t>
        <w:br/>
        <w:t>February 13, 2026</w:t>
      </w:r>
    </w:p>
    <w:p/>
    <w:tbl>
      <w:tblPr>
        <w:tblStyle w:val="LightShading-Accent1"/>
        <w:tblW w:type="auto" w:w="0"/>
        <w:jc w:val="center"/>
        <w:tblLook w:firstColumn="1" w:firstRow="1" w:lastColumn="0" w:lastRow="0" w:noHBand="0" w:noVBand="1" w:val="04A0"/>
      </w:tblPr>
      <w:tblGrid>
        <w:gridCol w:w="4320"/>
        <w:gridCol w:w="4320"/>
      </w:tblGrid>
      <w:tr>
        <w:tc>
          <w:tcPr>
            <w:tcW w:type="dxa" w:w="4320"/>
          </w:tcPr>
          <w:p>
            <w:r>
              <w:t>Prepared by</w:t>
            </w:r>
          </w:p>
        </w:tc>
        <w:tc>
          <w:tcPr>
            <w:tcW w:type="dxa" w:w="4320"/>
          </w:tcPr>
          <w:p>
            <w:r>
              <w:t>Dan Fallon, Enterprise Architecture</w:t>
            </w:r>
          </w:p>
        </w:tc>
      </w:tr>
      <w:tr>
        <w:tc>
          <w:tcPr>
            <w:tcW w:type="dxa" w:w="4320"/>
          </w:tcPr>
          <w:p>
            <w:r>
              <w:t>Source</w:t>
            </w:r>
          </w:p>
        </w:tc>
        <w:tc>
          <w:tcPr>
            <w:tcW w:type="dxa" w:w="4320"/>
          </w:tcPr>
          <w:p>
            <w:r>
              <w:t>ServiceNow Change Management — Review State Query</w:t>
            </w:r>
          </w:p>
        </w:tc>
      </w:tr>
      <w:tr>
        <w:tc>
          <w:tcPr>
            <w:tcW w:type="dxa" w:w="4320"/>
          </w:tcPr>
          <w:p>
            <w:r>
              <w:t>Policy Reference</w:t>
            </w:r>
          </w:p>
        </w:tc>
        <w:tc>
          <w:tcPr>
            <w:tcW w:type="dxa" w:w="4320"/>
          </w:tcPr>
          <w:p>
            <w:r>
              <w:t>ISMS-STA-11.01-01 Enterprise Change Management Program</w:t>
            </w:r>
          </w:p>
        </w:tc>
      </w:tr>
      <w:tr>
        <w:tc>
          <w:tcPr>
            <w:tcW w:type="dxa" w:w="4320"/>
          </w:tcPr>
          <w:p>
            <w:r>
              <w:t>Classification</w:t>
            </w:r>
          </w:p>
        </w:tc>
        <w:tc>
          <w:tcPr>
            <w:tcW w:type="dxa" w:w="4320"/>
          </w:tcPr>
          <w:p>
            <w:r>
              <w:t>Internal Use Only</w:t>
            </w:r>
          </w:p>
        </w:tc>
      </w:tr>
    </w:tbl>
    <w:p/>
    <w:p>
      <w:pPr>
        <w:pStyle w:val="Heading1"/>
      </w:pPr>
      <w:r>
        <w:t>Executive Summary</w:t>
      </w:r>
    </w:p>
    <w:p>
      <w:r>
        <w:t>There are 11 change requests currently in Review state (8 Normal, 3 Standard), all with planned implementation dates of February 12, 2026. These changes require post-implementation validation confirmation before they can be advanced to Closed. Nine changes are rated Low risk, one Moderate (CHG0039221), and one Very High (CHG0039266) with High impact. The Very High change warrants closer review of its post-deployment validation.</w:t>
      </w:r>
    </w:p>
    <w:p/>
    <w:p>
      <w:pPr>
        <w:pStyle w:val="Heading1"/>
      </w:pPr>
      <w:r>
        <w:t>Change Summary</w:t>
      </w:r>
    </w:p>
    <w:p>
      <w:pPr>
        <w:pStyle w:val="Heading2"/>
      </w:pPr>
      <w:r>
        <w:t>Normal Changes (8)</w:t>
      </w:r>
    </w:p>
    <w:tbl>
      <w:tblPr>
        <w:tblStyle w:val="MediumShading1-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Change</w:t>
            </w:r>
          </w:p>
        </w:tc>
        <w:tc>
          <w:tcPr>
            <w:tcW w:type="dxa" w:w="1234"/>
          </w:tcPr>
          <w:p>
            <w:r>
              <w:t>Short Description</w:t>
            </w:r>
          </w:p>
        </w:tc>
        <w:tc>
          <w:tcPr>
            <w:tcW w:type="dxa" w:w="1234"/>
          </w:tcPr>
          <w:p>
            <w:r>
              <w:t>Risk</w:t>
            </w:r>
          </w:p>
        </w:tc>
        <w:tc>
          <w:tcPr>
            <w:tcW w:type="dxa" w:w="1234"/>
          </w:tcPr>
          <w:p>
            <w:r>
              <w:t>Assigned To</w:t>
            </w:r>
          </w:p>
        </w:tc>
        <w:tc>
          <w:tcPr>
            <w:tcW w:type="dxa" w:w="1234"/>
          </w:tcPr>
          <w:p>
            <w:r>
              <w:t>Impl Plan</w:t>
            </w:r>
          </w:p>
        </w:tc>
        <w:tc>
          <w:tcPr>
            <w:tcW w:type="dxa" w:w="1234"/>
          </w:tcPr>
          <w:p>
            <w:r>
              <w:t>Backout</w:t>
            </w:r>
          </w:p>
        </w:tc>
        <w:tc>
          <w:tcPr>
            <w:tcW w:type="dxa" w:w="1234"/>
          </w:tcPr>
          <w:p>
            <w:r>
              <w:t>Test Plan</w:t>
            </w:r>
          </w:p>
        </w:tc>
      </w:tr>
      <w:tr>
        <w:tc>
          <w:tcPr>
            <w:tcW w:type="dxa" w:w="1234"/>
          </w:tcPr>
          <w:p>
            <w:r>
              <w:t>CHG0039321</w:t>
            </w:r>
          </w:p>
        </w:tc>
        <w:tc>
          <w:tcPr>
            <w:tcW w:type="dxa" w:w="1234"/>
          </w:tcPr>
          <w:p>
            <w:r>
              <w:t>BugFix: Expiring Credentials Notifications</w:t>
            </w:r>
          </w:p>
        </w:tc>
        <w:tc>
          <w:tcPr>
            <w:tcW w:type="dxa" w:w="1234"/>
          </w:tcPr>
          <w:p>
            <w:r>
              <w:t>Low</w:t>
            </w:r>
          </w:p>
        </w:tc>
        <w:tc>
          <w:tcPr>
            <w:tcW w:type="dxa" w:w="1234"/>
          </w:tcPr>
          <w:p>
            <w:r>
              <w:t>Yang Lee</w:t>
            </w:r>
          </w:p>
        </w:tc>
        <w:tc>
          <w:tcPr>
            <w:tcW w:type="dxa" w:w="1234"/>
          </w:tcPr>
          <w:p>
            <w:r>
              <w:t>OK</w:t>
            </w:r>
          </w:p>
        </w:tc>
        <w:tc>
          <w:tcPr>
            <w:tcW w:type="dxa" w:w="1234"/>
          </w:tcPr>
          <w:p>
            <w:r>
              <w:t>OK</w:t>
            </w:r>
          </w:p>
        </w:tc>
        <w:tc>
          <w:tcPr>
            <w:tcW w:type="dxa" w:w="1234"/>
          </w:tcPr>
          <w:p>
            <w:r>
              <w:t>OK</w:t>
            </w:r>
          </w:p>
        </w:tc>
      </w:tr>
      <w:tr>
        <w:tc>
          <w:tcPr>
            <w:tcW w:type="dxa" w:w="1234"/>
          </w:tcPr>
          <w:p>
            <w:r>
              <w:t>CHG0039310</w:t>
            </w:r>
          </w:p>
        </w:tc>
        <w:tc>
          <w:tcPr>
            <w:tcW w:type="dxa" w:w="1234"/>
          </w:tcPr>
          <w:p>
            <w:r>
              <w:t>JAMF: Deploy Tanium to Mac</w:t>
            </w:r>
          </w:p>
        </w:tc>
        <w:tc>
          <w:tcPr>
            <w:tcW w:type="dxa" w:w="1234"/>
          </w:tcPr>
          <w:p>
            <w:r>
              <w:t>Low</w:t>
            </w:r>
          </w:p>
        </w:tc>
        <w:tc>
          <w:tcPr>
            <w:tcW w:type="dxa" w:w="1234"/>
          </w:tcPr>
          <w:p>
            <w:r>
              <w:t>Jason Nguyen</w:t>
            </w:r>
          </w:p>
        </w:tc>
        <w:tc>
          <w:tcPr>
            <w:tcW w:type="dxa" w:w="1234"/>
          </w:tcPr>
          <w:p>
            <w:r>
              <w:t>OK</w:t>
            </w:r>
          </w:p>
        </w:tc>
        <w:tc>
          <w:tcPr>
            <w:tcW w:type="dxa" w:w="1234"/>
          </w:tcPr>
          <w:p>
            <w:r>
              <w:t>OK</w:t>
            </w:r>
          </w:p>
        </w:tc>
        <w:tc>
          <w:tcPr>
            <w:tcW w:type="dxa" w:w="1234"/>
          </w:tcPr>
          <w:p>
            <w:r>
              <w:t>OK</w:t>
            </w:r>
          </w:p>
        </w:tc>
      </w:tr>
      <w:tr>
        <w:tc>
          <w:tcPr>
            <w:tcW w:type="dxa" w:w="1234"/>
          </w:tcPr>
          <w:p>
            <w:r>
              <w:t>CHG0039294</w:t>
            </w:r>
          </w:p>
        </w:tc>
        <w:tc>
          <w:tcPr>
            <w:tcW w:type="dxa" w:w="1234"/>
          </w:tcPr>
          <w:p>
            <w:r>
              <w:t>Enable Salesforce CDC for Workato</w:t>
            </w:r>
          </w:p>
        </w:tc>
        <w:tc>
          <w:tcPr>
            <w:tcW w:type="dxa" w:w="1234"/>
          </w:tcPr>
          <w:p>
            <w:r>
              <w:t>Low</w:t>
            </w:r>
          </w:p>
        </w:tc>
        <w:tc>
          <w:tcPr>
            <w:tcW w:type="dxa" w:w="1234"/>
          </w:tcPr>
          <w:p>
            <w:r>
              <w:t>Derrick Chin</w:t>
            </w:r>
          </w:p>
        </w:tc>
        <w:tc>
          <w:tcPr>
            <w:tcW w:type="dxa" w:w="1234"/>
          </w:tcPr>
          <w:p>
            <w:r>
              <w:t>OK</w:t>
            </w:r>
          </w:p>
        </w:tc>
        <w:tc>
          <w:tcPr>
            <w:tcW w:type="dxa" w:w="1234"/>
          </w:tcPr>
          <w:p>
            <w:r>
              <w:t>OK</w:t>
            </w:r>
          </w:p>
        </w:tc>
        <w:tc>
          <w:tcPr>
            <w:tcW w:type="dxa" w:w="1234"/>
          </w:tcPr>
          <w:p>
            <w:r>
              <w:t>OK</w:t>
            </w:r>
          </w:p>
        </w:tc>
      </w:tr>
      <w:tr>
        <w:tc>
          <w:tcPr>
            <w:tcW w:type="dxa" w:w="1234"/>
          </w:tcPr>
          <w:p>
            <w:r>
              <w:t>CHG0039290</w:t>
            </w:r>
          </w:p>
        </w:tc>
        <w:tc>
          <w:tcPr>
            <w:tcW w:type="dxa" w:w="1234"/>
          </w:tcPr>
          <w:p>
            <w:r>
              <w:t>PE-1: Retire email inbox notifications</w:t>
            </w:r>
          </w:p>
        </w:tc>
        <w:tc>
          <w:tcPr>
            <w:tcW w:type="dxa" w:w="1234"/>
          </w:tcPr>
          <w:p>
            <w:r>
              <w:t>Low</w:t>
            </w:r>
          </w:p>
        </w:tc>
        <w:tc>
          <w:tcPr>
            <w:tcW w:type="dxa" w:w="1234"/>
          </w:tcPr>
          <w:p>
            <w:r>
              <w:t>Paramasivan Arunachalam</w:t>
            </w:r>
          </w:p>
        </w:tc>
        <w:tc>
          <w:tcPr>
            <w:tcW w:type="dxa" w:w="1234"/>
          </w:tcPr>
          <w:p>
            <w:r>
              <w:t>OK</w:t>
            </w:r>
          </w:p>
        </w:tc>
        <w:tc>
          <w:tcPr>
            <w:tcW w:type="dxa" w:w="1234"/>
          </w:tcPr>
          <w:p>
            <w:r>
              <w:t>OK</w:t>
            </w:r>
          </w:p>
        </w:tc>
        <w:tc>
          <w:tcPr>
            <w:tcW w:type="dxa" w:w="1234"/>
          </w:tcPr>
          <w:p>
            <w:r>
              <w:t>OK</w:t>
            </w:r>
          </w:p>
        </w:tc>
      </w:tr>
      <w:tr>
        <w:tc>
          <w:tcPr>
            <w:tcW w:type="dxa" w:w="1234"/>
          </w:tcPr>
          <w:p>
            <w:r>
              <w:t>CHG0039267</w:t>
            </w:r>
          </w:p>
        </w:tc>
        <w:tc>
          <w:tcPr>
            <w:tcW w:type="dxa" w:w="1234"/>
          </w:tcPr>
          <w:p>
            <w:r>
              <w:t>Expirables Extract Report Scheduling</w:t>
            </w:r>
          </w:p>
        </w:tc>
        <w:tc>
          <w:tcPr>
            <w:tcW w:type="dxa" w:w="1234"/>
          </w:tcPr>
          <w:p>
            <w:r>
              <w:t>Low</w:t>
            </w:r>
          </w:p>
        </w:tc>
        <w:tc>
          <w:tcPr>
            <w:tcW w:type="dxa" w:w="1234"/>
          </w:tcPr>
          <w:p>
            <w:r>
              <w:t>Divyarani Bhat</w:t>
            </w:r>
          </w:p>
        </w:tc>
        <w:tc>
          <w:tcPr>
            <w:tcW w:type="dxa" w:w="1234"/>
          </w:tcPr>
          <w:p>
            <w:r>
              <w:t>OK</w:t>
            </w:r>
          </w:p>
        </w:tc>
        <w:tc>
          <w:tcPr>
            <w:tcW w:type="dxa" w:w="1234"/>
          </w:tcPr>
          <w:p>
            <w:r>
              <w:t>OK</w:t>
            </w:r>
          </w:p>
        </w:tc>
        <w:tc>
          <w:tcPr>
            <w:tcW w:type="dxa" w:w="1234"/>
          </w:tcPr>
          <w:p>
            <w:r>
              <w:t>OK</w:t>
            </w:r>
          </w:p>
        </w:tc>
      </w:tr>
      <w:tr>
        <w:tc>
          <w:tcPr>
            <w:tcW w:type="dxa" w:w="1234"/>
          </w:tcPr>
          <w:p>
            <w:r>
              <w:t>CHG0039266</w:t>
            </w:r>
          </w:p>
        </w:tc>
        <w:tc>
          <w:tcPr>
            <w:tcW w:type="dxa" w:w="1234"/>
          </w:tcPr>
          <w:p>
            <w:r>
              <w:t>Update Informational Materials on Cred App</w:t>
            </w:r>
          </w:p>
        </w:tc>
        <w:tc>
          <w:tcPr>
            <w:tcW w:type="dxa" w:w="1234"/>
          </w:tcPr>
          <w:p>
            <w:r>
              <w:t>V.High</w:t>
            </w:r>
          </w:p>
        </w:tc>
        <w:tc>
          <w:tcPr>
            <w:tcW w:type="dxa" w:w="1234"/>
          </w:tcPr>
          <w:p>
            <w:r>
              <w:t>Niraj Ganani</w:t>
            </w:r>
          </w:p>
        </w:tc>
        <w:tc>
          <w:tcPr>
            <w:tcW w:type="dxa" w:w="1234"/>
          </w:tcPr>
          <w:p>
            <w:r>
              <w:t>OK</w:t>
            </w:r>
          </w:p>
        </w:tc>
        <w:tc>
          <w:tcPr>
            <w:tcW w:type="dxa" w:w="1234"/>
          </w:tcPr>
          <w:p>
            <w:r>
              <w:t>OK</w:t>
            </w:r>
          </w:p>
        </w:tc>
        <w:tc>
          <w:tcPr>
            <w:tcW w:type="dxa" w:w="1234"/>
          </w:tcPr>
          <w:p>
            <w:r>
              <w:t>OK</w:t>
            </w:r>
          </w:p>
        </w:tc>
      </w:tr>
      <w:tr>
        <w:tc>
          <w:tcPr>
            <w:tcW w:type="dxa" w:w="1234"/>
          </w:tcPr>
          <w:p>
            <w:r>
              <w:t>CHG0039154</w:t>
            </w:r>
          </w:p>
        </w:tc>
        <w:tc>
          <w:tcPr>
            <w:tcW w:type="dxa" w:w="1234"/>
          </w:tcPr>
          <w:p>
            <w:r>
              <w:t>MOOV Email Automation in HCM</w:t>
            </w:r>
          </w:p>
        </w:tc>
        <w:tc>
          <w:tcPr>
            <w:tcW w:type="dxa" w:w="1234"/>
          </w:tcPr>
          <w:p>
            <w:r>
              <w:t>Low</w:t>
            </w:r>
          </w:p>
        </w:tc>
        <w:tc>
          <w:tcPr>
            <w:tcW w:type="dxa" w:w="1234"/>
          </w:tcPr>
          <w:p>
            <w:r>
              <w:t>Bala Tadisetty</w:t>
            </w:r>
          </w:p>
        </w:tc>
        <w:tc>
          <w:tcPr>
            <w:tcW w:type="dxa" w:w="1234"/>
          </w:tcPr>
          <w:p>
            <w:r>
              <w:t>OK</w:t>
            </w:r>
          </w:p>
        </w:tc>
        <w:tc>
          <w:tcPr>
            <w:tcW w:type="dxa" w:w="1234"/>
          </w:tcPr>
          <w:p>
            <w:r>
              <w:t>OK</w:t>
            </w:r>
          </w:p>
        </w:tc>
        <w:tc>
          <w:tcPr>
            <w:tcW w:type="dxa" w:w="1234"/>
          </w:tcPr>
          <w:p>
            <w:r>
              <w:t>OK</w:t>
            </w:r>
          </w:p>
        </w:tc>
      </w:tr>
      <w:tr>
        <w:tc>
          <w:tcPr>
            <w:tcW w:type="dxa" w:w="1234"/>
          </w:tcPr>
          <w:p>
            <w:r>
              <w:t>CHG0039141</w:t>
            </w:r>
          </w:p>
        </w:tc>
        <w:tc>
          <w:tcPr>
            <w:tcW w:type="dxa" w:w="1234"/>
          </w:tcPr>
          <w:p>
            <w:r>
              <w:t>Convert Comments Field to Rich Text</w:t>
            </w:r>
          </w:p>
        </w:tc>
        <w:tc>
          <w:tcPr>
            <w:tcW w:type="dxa" w:w="1234"/>
          </w:tcPr>
          <w:p>
            <w:r>
              <w:t>Low</w:t>
            </w:r>
          </w:p>
        </w:tc>
        <w:tc>
          <w:tcPr>
            <w:tcW w:type="dxa" w:w="1234"/>
          </w:tcPr>
          <w:p>
            <w:r>
              <w:t>Parvathi Arun</w:t>
            </w:r>
          </w:p>
        </w:tc>
        <w:tc>
          <w:tcPr>
            <w:tcW w:type="dxa" w:w="1234"/>
          </w:tcPr>
          <w:p>
            <w:r>
              <w:t>OK</w:t>
            </w:r>
          </w:p>
        </w:tc>
        <w:tc>
          <w:tcPr>
            <w:tcW w:type="dxa" w:w="1234"/>
          </w:tcPr>
          <w:p>
            <w:r>
              <w:t>OK</w:t>
            </w:r>
          </w:p>
        </w:tc>
        <w:tc>
          <w:tcPr>
            <w:tcW w:type="dxa" w:w="1234"/>
          </w:tcPr>
          <w:p>
            <w:r>
              <w:t>OK</w:t>
            </w:r>
          </w:p>
        </w:tc>
      </w:tr>
    </w:tbl>
    <w:p/>
    <w:p>
      <w:pPr>
        <w:pStyle w:val="Heading2"/>
      </w:pPr>
      <w:r>
        <w:t>Standard Changes (3)</w:t>
      </w:r>
    </w:p>
    <w:tbl>
      <w:tblPr>
        <w:tblStyle w:val="MediumShading1-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Change</w:t>
            </w:r>
          </w:p>
        </w:tc>
        <w:tc>
          <w:tcPr>
            <w:tcW w:type="dxa" w:w="1234"/>
          </w:tcPr>
          <w:p>
            <w:r>
              <w:t>Short Description</w:t>
            </w:r>
          </w:p>
        </w:tc>
        <w:tc>
          <w:tcPr>
            <w:tcW w:type="dxa" w:w="1234"/>
          </w:tcPr>
          <w:p>
            <w:r>
              <w:t>Risk</w:t>
            </w:r>
          </w:p>
        </w:tc>
        <w:tc>
          <w:tcPr>
            <w:tcW w:type="dxa" w:w="1234"/>
          </w:tcPr>
          <w:p>
            <w:r>
              <w:t>Assigned To</w:t>
            </w:r>
          </w:p>
        </w:tc>
        <w:tc>
          <w:tcPr>
            <w:tcW w:type="dxa" w:w="1234"/>
          </w:tcPr>
          <w:p>
            <w:r>
              <w:t>Impl Plan</w:t>
            </w:r>
          </w:p>
        </w:tc>
        <w:tc>
          <w:tcPr>
            <w:tcW w:type="dxa" w:w="1234"/>
          </w:tcPr>
          <w:p>
            <w:r>
              <w:t>Backout</w:t>
            </w:r>
          </w:p>
        </w:tc>
        <w:tc>
          <w:tcPr>
            <w:tcW w:type="dxa" w:w="1234"/>
          </w:tcPr>
          <w:p>
            <w:r>
              <w:t>Test Plan</w:t>
            </w:r>
          </w:p>
        </w:tc>
      </w:tr>
      <w:tr>
        <w:tc>
          <w:tcPr>
            <w:tcW w:type="dxa" w:w="1234"/>
          </w:tcPr>
          <w:p>
            <w:r>
              <w:t>CHG0039315</w:t>
            </w:r>
          </w:p>
        </w:tc>
        <w:tc>
          <w:tcPr>
            <w:tcW w:type="dxa" w:w="1234"/>
          </w:tcPr>
          <w:p>
            <w:r>
              <w:t>New Configuration Items in ServiceNow</w:t>
            </w:r>
          </w:p>
        </w:tc>
        <w:tc>
          <w:tcPr>
            <w:tcW w:type="dxa" w:w="1234"/>
          </w:tcPr>
          <w:p>
            <w:r>
              <w:t>Low</w:t>
            </w:r>
          </w:p>
        </w:tc>
        <w:tc>
          <w:tcPr>
            <w:tcW w:type="dxa" w:w="1234"/>
          </w:tcPr>
          <w:p>
            <w:r>
              <w:t>Ray Blor</w:t>
            </w:r>
          </w:p>
        </w:tc>
        <w:tc>
          <w:tcPr>
            <w:tcW w:type="dxa" w:w="1234"/>
          </w:tcPr>
          <w:p>
            <w:r>
              <w:t>OK</w:t>
            </w:r>
          </w:p>
        </w:tc>
        <w:tc>
          <w:tcPr>
            <w:tcW w:type="dxa" w:w="1234"/>
          </w:tcPr>
          <w:p>
            <w:r>
              <w:t>OK</w:t>
            </w:r>
          </w:p>
        </w:tc>
        <w:tc>
          <w:tcPr>
            <w:tcW w:type="dxa" w:w="1234"/>
          </w:tcPr>
          <w:p>
            <w:r>
              <w:t>OK</w:t>
            </w:r>
          </w:p>
        </w:tc>
      </w:tr>
      <w:tr>
        <w:tc>
          <w:tcPr>
            <w:tcW w:type="dxa" w:w="1234"/>
          </w:tcPr>
          <w:p>
            <w:r>
              <w:t>CHG0039286</w:t>
            </w:r>
          </w:p>
        </w:tc>
        <w:tc>
          <w:tcPr>
            <w:tcW w:type="dxa" w:w="1234"/>
          </w:tcPr>
          <w:p>
            <w:r>
              <w:t>Create AI Analysis fields on NewHire/Recred</w:t>
            </w:r>
          </w:p>
        </w:tc>
        <w:tc>
          <w:tcPr>
            <w:tcW w:type="dxa" w:w="1234"/>
          </w:tcPr>
          <w:p>
            <w:r>
              <w:t>Low</w:t>
            </w:r>
          </w:p>
        </w:tc>
        <w:tc>
          <w:tcPr>
            <w:tcW w:type="dxa" w:w="1234"/>
          </w:tcPr>
          <w:p>
            <w:r>
              <w:t>Niraj Ganani</w:t>
            </w:r>
          </w:p>
        </w:tc>
        <w:tc>
          <w:tcPr>
            <w:tcW w:type="dxa" w:w="1234"/>
          </w:tcPr>
          <w:p>
            <w:r>
              <w:t>OK</w:t>
            </w:r>
          </w:p>
        </w:tc>
        <w:tc>
          <w:tcPr>
            <w:tcW w:type="dxa" w:w="1234"/>
          </w:tcPr>
          <w:p>
            <w:r>
              <w:t>OK</w:t>
            </w:r>
          </w:p>
        </w:tc>
        <w:tc>
          <w:tcPr>
            <w:tcW w:type="dxa" w:w="1234"/>
          </w:tcPr>
          <w:p>
            <w:r>
              <w:t>OK</w:t>
            </w:r>
          </w:p>
        </w:tc>
      </w:tr>
      <w:tr>
        <w:tc>
          <w:tcPr>
            <w:tcW w:type="dxa" w:w="1234"/>
          </w:tcPr>
          <w:p>
            <w:r>
              <w:t>CHG0039221</w:t>
            </w:r>
          </w:p>
        </w:tc>
        <w:tc>
          <w:tcPr>
            <w:tcW w:type="dxa" w:w="1234"/>
          </w:tcPr>
          <w:p>
            <w:r>
              <w:t>Add survey responses to Survey Sender report</w:t>
            </w:r>
          </w:p>
        </w:tc>
        <w:tc>
          <w:tcPr>
            <w:tcW w:type="dxa" w:w="1234"/>
          </w:tcPr>
          <w:p>
            <w:r>
              <w:t>Moderate</w:t>
            </w:r>
          </w:p>
        </w:tc>
        <w:tc>
          <w:tcPr>
            <w:tcW w:type="dxa" w:w="1234"/>
          </w:tcPr>
          <w:p>
            <w:r>
              <w:t>Niraj Ganani</w:t>
            </w:r>
          </w:p>
        </w:tc>
        <w:tc>
          <w:tcPr>
            <w:tcW w:type="dxa" w:w="1234"/>
          </w:tcPr>
          <w:p>
            <w:r>
              <w:t>OK</w:t>
            </w:r>
          </w:p>
        </w:tc>
        <w:tc>
          <w:tcPr>
            <w:tcW w:type="dxa" w:w="1234"/>
          </w:tcPr>
          <w:p>
            <w:r>
              <w:t>OK</w:t>
            </w:r>
          </w:p>
        </w:tc>
        <w:tc>
          <w:tcPr>
            <w:tcW w:type="dxa" w:w="1234"/>
          </w:tcPr>
          <w:p>
            <w:r>
              <w:t>OK</w:t>
            </w:r>
          </w:p>
        </w:tc>
      </w:tr>
    </w:tbl>
    <w:p/>
    <w:p>
      <w:pPr>
        <w:pStyle w:val="Heading1"/>
      </w:pPr>
      <w:r>
        <w:t>Findings &amp; Observations</w:t>
      </w:r>
    </w:p>
    <w:p>
      <w:pPr>
        <w:pStyle w:val="Heading2"/>
      </w:pPr>
      <w:r>
        <w:t>CHG0039266 — Very High Risk Rating for Content Update</w:t>
      </w:r>
    </w:p>
    <w:p>
      <w:r>
        <w:rPr>
          <w:b/>
        </w:rPr>
        <w:t xml:space="preserve">Risk: </w:t>
      </w:r>
      <w:r>
        <w:t xml:space="preserve">Very High | </w:t>
      </w:r>
      <w:r>
        <w:rPr>
          <w:b/>
        </w:rPr>
        <w:t xml:space="preserve">Impact: </w:t>
      </w:r>
      <w:r>
        <w:t>1 - High</w:t>
      </w:r>
    </w:p>
    <w:p/>
    <w:p>
      <w:r>
        <w:rPr>
          <w:b/>
        </w:rPr>
        <w:t xml:space="preserve">Finding: </w:t>
      </w:r>
      <w:r>
        <w:t>This change updates informational materials on the credentialing application in Salesforce. It is rated Very High risk with High impact, which appears disproportionate for a content update. The description is minimal ("Updates to the Informational Materials on Cred App") and does not explain what materials are changing or why the risk rating is so high. Implementation, backout, and test plans are all adequate.</w:t>
      </w:r>
    </w:p>
    <w:p>
      <w:r>
        <w:rPr>
          <w:b/>
        </w:rPr>
        <w:t xml:space="preserve">Recommendation: </w:t>
      </w:r>
      <w:r>
        <w:t>Before closing, confirm with Selena LomeliGraham that post-deployment validation was completed successfully. Consider whether the Very High / High rating is appropriate for a content update, or if the risk assessment needs recalibration.</w:t>
      </w:r>
    </w:p>
    <w:p/>
    <w:p>
      <w:pPr>
        <w:pStyle w:val="Heading2"/>
      </w:pPr>
      <w:r>
        <w:t>CHG0039290 — Incomplete Backout Plan</w:t>
      </w:r>
    </w:p>
    <w:p>
      <w:r>
        <w:rPr>
          <w:b/>
        </w:rPr>
        <w:t xml:space="preserve">Risk: </w:t>
      </w:r>
      <w:r>
        <w:t xml:space="preserve">Low | </w:t>
      </w:r>
      <w:r>
        <w:rPr>
          <w:b/>
        </w:rPr>
        <w:t xml:space="preserve">Impact: </w:t>
      </w:r>
      <w:r>
        <w:t>3 - Low</w:t>
      </w:r>
    </w:p>
    <w:p/>
    <w:p>
      <w:r>
        <w:rPr>
          <w:b/>
        </w:rPr>
        <w:t xml:space="preserve">Finding: </w:t>
      </w:r>
      <w:r>
        <w:t>The PE-1 production release involves a Salesforce changeset with permission sets, record types, page layouts, and an activated flow. The backout plan only addresses removing the permission set ("Remove PE IEC Task Set"), but does not cover reverting the deployed changeset, deactivating the flow, or restoring prior page layout assignments. If a rollback were needed, removing the permission set alone would not fully revert the system to its pre-implementation state.</w:t>
      </w:r>
    </w:p>
    <w:p>
      <w:r>
        <w:rPr>
          <w:b/>
        </w:rPr>
        <w:t xml:space="preserve">Resolution: </w:t>
      </w:r>
      <w:r>
        <w:t>Paramasivan Arunachalam has been contacted and has updated the backout plan in the CR to include changeset rollback steps. No further action needed.</w:t>
      </w:r>
    </w:p>
    <w:p/>
    <w:p>
      <w:pPr>
        <w:pStyle w:val="Heading2"/>
      </w:pPr>
      <w:r>
        <w:t>CHG0039310 — Sites/Business Units Field Blank</w:t>
      </w:r>
    </w:p>
    <w:p>
      <w:r>
        <w:rPr>
          <w:b/>
        </w:rPr>
        <w:t xml:space="preserve">Risk: </w:t>
      </w:r>
      <w:r>
        <w:t xml:space="preserve">Low | </w:t>
      </w:r>
      <w:r>
        <w:rPr>
          <w:b/>
        </w:rPr>
        <w:t xml:space="preserve">Impact: </w:t>
      </w:r>
      <w:r>
        <w:t>3 - Low</w:t>
      </w:r>
    </w:p>
    <w:p/>
    <w:p>
      <w:r>
        <w:rPr>
          <w:b/>
        </w:rPr>
        <w:t xml:space="preserve">Finding: </w:t>
      </w:r>
      <w:r>
        <w:t>The JAMF/Tanium Mac deployment affects all managed Mac devices across the organization, but the "What sites or business units are impacted?" field in the Risk &amp; Impact Analysis is blank. This was previously flagged during CCB prep for the February 12 meeting.</w:t>
      </w:r>
    </w:p>
    <w:p>
      <w:r>
        <w:rPr>
          <w:b/>
        </w:rPr>
        <w:t xml:space="preserve">Resolution: </w:t>
      </w:r>
      <w:r>
        <w:t>Jason Nguyen has been contacted and the Sites/BU field has been updated in the CR. No further action needed.</w:t>
      </w:r>
    </w:p>
    <w:p/>
    <w:p>
      <w:pPr>
        <w:pStyle w:val="Heading1"/>
      </w:pPr>
      <w:r>
        <w:t>Detailed Change Review</w:t>
      </w:r>
    </w:p>
    <w:p>
      <w:pPr>
        <w:pStyle w:val="Heading2"/>
      </w:pPr>
      <w:r>
        <w:t>CHG0039321 — BugFix: Expiring Credentials Notification Emails</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Yang Lee</w:t>
            </w:r>
          </w:p>
        </w:tc>
      </w:tr>
      <w:tr>
        <w:tc>
          <w:tcPr>
            <w:tcW w:type="dxa" w:w="2160"/>
          </w:tcPr>
          <w:p>
            <w:r>
              <w:t>Requested By</w:t>
            </w:r>
          </w:p>
        </w:tc>
        <w:tc>
          <w:tcPr>
            <w:tcW w:type="dxa" w:w="2160"/>
          </w:tcPr>
          <w:p>
            <w:r>
              <w:t>Jill Truesdale</w:t>
            </w:r>
          </w:p>
        </w:tc>
        <w:tc>
          <w:tcPr>
            <w:tcW w:type="dxa" w:w="2160"/>
          </w:tcPr>
          <w:p>
            <w:r>
              <w:t>Planned Window</w:t>
            </w:r>
          </w:p>
        </w:tc>
        <w:tc>
          <w:tcPr>
            <w:tcW w:type="dxa" w:w="2160"/>
          </w:tcPr>
          <w:p>
            <w:r>
              <w:t>02/12/2026 09:00 – 11:00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Bug fix for notification service failing with "too many parameters" error when provider count exceeds 2,100. Fix updates SQL query in the Portal-Credentialing Notifications exe on ordc-prdweb3.</w:t>
      </w:r>
    </w:p>
    <w:p>
      <w:r>
        <w:rPr>
          <w:b/>
        </w:rPr>
        <w:t xml:space="preserve">Implementation: </w:t>
      </w:r>
      <w:r>
        <w:t>[OK] Replace exe build files on ordc-prdweb3 with latest build from repo.</w:t>
      </w:r>
    </w:p>
    <w:p>
      <w:r>
        <w:rPr>
          <w:b/>
        </w:rPr>
        <w:t xml:space="preserve">Backout: </w:t>
      </w:r>
      <w:r>
        <w:t>[OK] Re-enable backed up exe. Backout trigger: error when building exe.</w:t>
      </w:r>
    </w:p>
    <w:p>
      <w:r>
        <w:rPr>
          <w:b/>
        </w:rPr>
        <w:t xml:space="preserve">Testing: </w:t>
      </w:r>
      <w:r>
        <w:t>[OK] Tested in dev. Jill validates post-deploy; INC created if issues.</w:t>
      </w:r>
    </w:p>
    <w:p>
      <w:r>
        <w:rPr>
          <w:b/>
        </w:rPr>
        <w:t xml:space="preserve">Review Action: </w:t>
      </w:r>
      <w:r>
        <w:t>Confirm with Jill Truesdale that notification emails are sending correctly.</w:t>
      </w:r>
    </w:p>
    <w:p/>
    <w:p>
      <w:pPr>
        <w:pStyle w:val="Heading2"/>
      </w:pPr>
      <w:r>
        <w:t>CHG0039310 — JAMF: Deploy Tanium Client to Mac Devices</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Service Delivery Optimization</w:t>
            </w:r>
          </w:p>
        </w:tc>
        <w:tc>
          <w:tcPr>
            <w:tcW w:type="dxa" w:w="2160"/>
          </w:tcPr>
          <w:p>
            <w:r>
              <w:t>Assigned To</w:t>
            </w:r>
          </w:p>
        </w:tc>
        <w:tc>
          <w:tcPr>
            <w:tcW w:type="dxa" w:w="2160"/>
          </w:tcPr>
          <w:p>
            <w:r>
              <w:t>Jason Nguyen</w:t>
            </w:r>
          </w:p>
        </w:tc>
      </w:tr>
      <w:tr>
        <w:tc>
          <w:tcPr>
            <w:tcW w:type="dxa" w:w="2160"/>
          </w:tcPr>
          <w:p>
            <w:r>
              <w:t>Requested By</w:t>
            </w:r>
          </w:p>
        </w:tc>
        <w:tc>
          <w:tcPr>
            <w:tcW w:type="dxa" w:w="2160"/>
          </w:tcPr>
          <w:p>
            <w:r>
              <w:t>Andrew Sanchez</w:t>
            </w:r>
          </w:p>
        </w:tc>
        <w:tc>
          <w:tcPr>
            <w:tcW w:type="dxa" w:w="2160"/>
          </w:tcPr>
          <w:p>
            <w:r>
              <w:t>Planned Window</w:t>
            </w:r>
          </w:p>
        </w:tc>
        <w:tc>
          <w:tcPr>
            <w:tcW w:type="dxa" w:w="2160"/>
          </w:tcPr>
          <w:p>
            <w:r>
              <w:t>02/12/2026 16:00 – 16:30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Deploy Tanium client (v7.8.2.1111) to all managed Mac devices via Jamf Pro policy/configuration profile. Silent background install, no user interaction.</w:t>
      </w:r>
    </w:p>
    <w:p>
      <w:r>
        <w:rPr>
          <w:b/>
        </w:rPr>
        <w:t xml:space="preserve">Implementation: </w:t>
      </w:r>
      <w:r>
        <w:t>[OK] Deploy via Jamf Pro policy/config profile scoped to all managed Macs.</w:t>
      </w:r>
    </w:p>
    <w:p>
      <w:r>
        <w:rPr>
          <w:b/>
        </w:rPr>
        <w:t xml:space="preserve">Backout: </w:t>
      </w:r>
      <w:r>
        <w:t>[OK] Revoke config profile by adjusting scope; near-instant via APNS.</w:t>
      </w:r>
    </w:p>
    <w:p>
      <w:r>
        <w:rPr>
          <w:b/>
        </w:rPr>
        <w:t xml:space="preserve">Testing: </w:t>
      </w:r>
      <w:r>
        <w:t>[OK] Tested on IT test group. Verified via Jamf logs and Tanium dashboard.</w:t>
      </w:r>
    </w:p>
    <w:p>
      <w:r>
        <w:rPr>
          <w:b/>
        </w:rPr>
        <w:t xml:space="preserve">Review Action: </w:t>
      </w:r>
      <w:r>
        <w:t>Confirm Tanium client reporting from Mac endpoints. Update Sites/BU field.</w:t>
      </w:r>
    </w:p>
    <w:p/>
    <w:p>
      <w:pPr>
        <w:pStyle w:val="Heading2"/>
      </w:pPr>
      <w:r>
        <w:t>CHG0039294 — Enable Salesforce Change Data Capture (CDC) for Workato</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Derrick Chin</w:t>
            </w:r>
          </w:p>
        </w:tc>
      </w:tr>
      <w:tr>
        <w:tc>
          <w:tcPr>
            <w:tcW w:type="dxa" w:w="2160"/>
          </w:tcPr>
          <w:p>
            <w:r>
              <w:t>Requested By</w:t>
            </w:r>
          </w:p>
        </w:tc>
        <w:tc>
          <w:tcPr>
            <w:tcW w:type="dxa" w:w="2160"/>
          </w:tcPr>
          <w:p>
            <w:r>
              <w:t>Anjali Mewara</w:t>
            </w:r>
          </w:p>
        </w:tc>
        <w:tc>
          <w:tcPr>
            <w:tcW w:type="dxa" w:w="2160"/>
          </w:tcPr>
          <w:p>
            <w:r>
              <w:t>Planned Window</w:t>
            </w:r>
          </w:p>
        </w:tc>
        <w:tc>
          <w:tcPr>
            <w:tcW w:type="dxa" w:w="2160"/>
          </w:tcPr>
          <w:p>
            <w:r>
              <w:t>02/12/2026 09:00 – 10:00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Enable CDC on Contact, Contract, and Contract Implementation objects so Workato can receive real-time change events for data synchronization.</w:t>
      </w:r>
    </w:p>
    <w:p>
      <w:r>
        <w:rPr>
          <w:b/>
        </w:rPr>
        <w:t xml:space="preserve">Implementation: </w:t>
      </w:r>
      <w:r>
        <w:t>[OK] Step-by-step: Setup &gt; CDC &gt; select objects &gt; Save.</w:t>
      </w:r>
    </w:p>
    <w:p>
      <w:r>
        <w:rPr>
          <w:b/>
        </w:rPr>
        <w:t xml:space="preserve">Backout: </w:t>
      </w:r>
      <w:r>
        <w:t>[OK] Remove objects from CDC tracking.</w:t>
      </w:r>
    </w:p>
    <w:p>
      <w:r>
        <w:rPr>
          <w:b/>
        </w:rPr>
        <w:t xml:space="preserve">Testing: </w:t>
      </w:r>
      <w:r>
        <w:t>[OK] Tested in Sandbox by Rosie and Anjali. Savannah validates post-deploy.</w:t>
      </w:r>
    </w:p>
    <w:p>
      <w:r>
        <w:rPr>
          <w:b/>
        </w:rPr>
        <w:t xml:space="preserve">Review Action: </w:t>
      </w:r>
      <w:r>
        <w:t>Confirm with Savannah that Workato is receiving CDC events.</w:t>
      </w:r>
    </w:p>
    <w:p/>
    <w:p>
      <w:pPr>
        <w:pStyle w:val="Heading2"/>
      </w:pPr>
      <w:r>
        <w:t>CHG0039290 — PE-1: Retire Email Inbox Notifications, Replace with System Notifications</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Paramasivan Arunachalam</w:t>
            </w:r>
          </w:p>
        </w:tc>
      </w:tr>
      <w:tr>
        <w:tc>
          <w:tcPr>
            <w:tcW w:type="dxa" w:w="2160"/>
          </w:tcPr>
          <w:p>
            <w:r>
              <w:t>Requested By</w:t>
            </w:r>
          </w:p>
        </w:tc>
        <w:tc>
          <w:tcPr>
            <w:tcW w:type="dxa" w:w="2160"/>
          </w:tcPr>
          <w:p>
            <w:r>
              <w:t>Nancy Nair</w:t>
            </w:r>
          </w:p>
        </w:tc>
        <w:tc>
          <w:tcPr>
            <w:tcW w:type="dxa" w:w="2160"/>
          </w:tcPr>
          <w:p>
            <w:r>
              <w:t>Planned Window</w:t>
            </w:r>
          </w:p>
        </w:tc>
        <w:tc>
          <w:tcPr>
            <w:tcW w:type="dxa" w:w="2160"/>
          </w:tcPr>
          <w:p>
            <w:r>
              <w:t>02/12/2026 09:00 – 11:00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Deploy Salesforce changeset PE-1 to replace email inbox-based PE intake with system-level notifications and a task queue for IEC creation. Includes permission sets, record types, page layouts, and a flow trigger.</w:t>
      </w:r>
    </w:p>
    <w:p>
      <w:r>
        <w:rPr>
          <w:b/>
        </w:rPr>
        <w:t xml:space="preserve">Implementation: </w:t>
      </w:r>
      <w:r>
        <w:t>[OK] 6 detailed steps: deploy changeset, assign permissions, verify record types, layouts, flow, login validation.</w:t>
      </w:r>
    </w:p>
    <w:p>
      <w:r>
        <w:rPr>
          <w:b/>
        </w:rPr>
        <w:t xml:space="preserve">Backout: </w:t>
      </w:r>
      <w:r>
        <w:t>[OK] Updated by Paramasivan to include changeset rollback steps.</w:t>
      </w:r>
    </w:p>
    <w:p>
      <w:r>
        <w:rPr>
          <w:b/>
        </w:rPr>
        <w:t xml:space="preserve">Testing: </w:t>
      </w:r>
      <w:r>
        <w:t>[OK] Tested in SB2 by Nancy Nair and team. Sara Jew/Nancy Nair validate post-deploy.</w:t>
      </w:r>
    </w:p>
    <w:p>
      <w:r>
        <w:rPr>
          <w:b/>
        </w:rPr>
        <w:t xml:space="preserve">Review Action: </w:t>
      </w:r>
      <w:r>
        <w:t>Confirm with Nancy Nair/Sara Jew that PE notification queue is functional.</w:t>
      </w:r>
    </w:p>
    <w:p/>
    <w:p>
      <w:pPr>
        <w:pStyle w:val="Heading2"/>
      </w:pPr>
      <w:r>
        <w:t>CHG0039267 — Expirables Extract Report — Production Scheduling</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Divyarani Bhat</w:t>
            </w:r>
          </w:p>
        </w:tc>
      </w:tr>
      <w:tr>
        <w:tc>
          <w:tcPr>
            <w:tcW w:type="dxa" w:w="2160"/>
          </w:tcPr>
          <w:p>
            <w:r>
              <w:t>Requested By</w:t>
            </w:r>
          </w:p>
        </w:tc>
        <w:tc>
          <w:tcPr>
            <w:tcW w:type="dxa" w:w="2160"/>
          </w:tcPr>
          <w:p>
            <w:r>
              <w:t>Jennifer Dorais</w:t>
            </w:r>
          </w:p>
        </w:tc>
        <w:tc>
          <w:tcPr>
            <w:tcW w:type="dxa" w:w="2160"/>
          </w:tcPr>
          <w:p>
            <w:r>
              <w:t>Planned Window</w:t>
            </w:r>
          </w:p>
        </w:tc>
        <w:tc>
          <w:tcPr>
            <w:tcW w:type="dxa" w:w="2160"/>
          </w:tcPr>
          <w:p>
            <w:r>
              <w:t>02/12/2026 09:00 – 11:00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Schedule Workato recipes to generate Expirables Extract report 5 and 3 business days before month-end. Includes SQL data prep, notifications, and daily summary.</w:t>
      </w:r>
    </w:p>
    <w:p>
      <w:r>
        <w:rPr>
          <w:b/>
        </w:rPr>
        <w:t xml:space="preserve">Implementation: </w:t>
      </w:r>
      <w:r>
        <w:t>[OK] 5 steps: configure SQL, build recipes, configure notifications, test, deploy. Recipe links provided.</w:t>
      </w:r>
    </w:p>
    <w:p>
      <w:r>
        <w:rPr>
          <w:b/>
        </w:rPr>
        <w:t xml:space="preserve">Backout: </w:t>
      </w:r>
      <w:r>
        <w:t>[OK] Disable Workato recipes immediately; no downtime.</w:t>
      </w:r>
    </w:p>
    <w:p>
      <w:r>
        <w:rPr>
          <w:b/>
        </w:rPr>
        <w:t xml:space="preserve">Testing: </w:t>
      </w:r>
      <w:r>
        <w:t>[OK] Validated SQL logic, executed test runs with controlled recipients.</w:t>
      </w:r>
    </w:p>
    <w:p>
      <w:r>
        <w:rPr>
          <w:b/>
        </w:rPr>
        <w:t xml:space="preserve">Review Action: </w:t>
      </w:r>
      <w:r>
        <w:t>Confirm first scheduled run executes correctly. Side-by-side comparison with existing reports at month-end.</w:t>
      </w:r>
    </w:p>
    <w:p/>
    <w:p>
      <w:pPr>
        <w:pStyle w:val="Heading2"/>
      </w:pPr>
      <w:r>
        <w:t>CHG0039266 — Updates to Informational Materials on Cred App</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Very High</w:t>
            </w:r>
          </w:p>
        </w:tc>
        <w:tc>
          <w:tcPr>
            <w:tcW w:type="dxa" w:w="2160"/>
          </w:tcPr>
          <w:p>
            <w:r>
              <w:t>Impact</w:t>
            </w:r>
          </w:p>
        </w:tc>
        <w:tc>
          <w:tcPr>
            <w:tcW w:type="dxa" w:w="2160"/>
          </w:tcPr>
          <w:p>
            <w:r>
              <w:t>1 - High</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Niraj Ganani</w:t>
            </w:r>
          </w:p>
        </w:tc>
      </w:tr>
      <w:tr>
        <w:tc>
          <w:tcPr>
            <w:tcW w:type="dxa" w:w="2160"/>
          </w:tcPr>
          <w:p>
            <w:r>
              <w:t>Requested By</w:t>
            </w:r>
          </w:p>
        </w:tc>
        <w:tc>
          <w:tcPr>
            <w:tcW w:type="dxa" w:w="2160"/>
          </w:tcPr>
          <w:p>
            <w:r>
              <w:t>Selena LomeliGraham</w:t>
            </w:r>
          </w:p>
        </w:tc>
        <w:tc>
          <w:tcPr>
            <w:tcW w:type="dxa" w:w="2160"/>
          </w:tcPr>
          <w:p>
            <w:r>
              <w:t>Planned Window</w:t>
            </w:r>
          </w:p>
        </w:tc>
        <w:tc>
          <w:tcPr>
            <w:tcW w:type="dxa" w:w="2160"/>
          </w:tcPr>
          <w:p>
            <w:r>
              <w:t>02/12/2026 10:00 – 10:30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Update informational materials within the online credentialing application in Salesforce. Update flow and upload files to folder libraries.</w:t>
      </w:r>
    </w:p>
    <w:p>
      <w:r>
        <w:rPr>
          <w:b/>
        </w:rPr>
        <w:t xml:space="preserve">Implementation: </w:t>
      </w:r>
      <w:r>
        <w:t>[OK] Navigate to Setup &gt; Flow &gt; update Credentialing Application flow, upload files to folder libraries, link in flow. Changeset from SB2 provided.</w:t>
      </w:r>
    </w:p>
    <w:p>
      <w:r>
        <w:rPr>
          <w:b/>
        </w:rPr>
        <w:t xml:space="preserve">Backout: </w:t>
      </w:r>
      <w:r>
        <w:t>[OK] Reactivate old version of flow.</w:t>
      </w:r>
    </w:p>
    <w:p>
      <w:r>
        <w:rPr>
          <w:b/>
        </w:rPr>
        <w:t xml:space="preserve">Testing: </w:t>
      </w:r>
      <w:r>
        <w:t>[OK] Tested in Sandbox with Selena LomeliGraham.</w:t>
      </w:r>
    </w:p>
    <w:p>
      <w:r>
        <w:rPr>
          <w:b/>
        </w:rPr>
        <w:t xml:space="preserve">Review Action: </w:t>
      </w:r>
      <w:r>
        <w:t>PRIORITY: Confirm with Selena that post-deploy validation is complete. Assess whether Very High / High rating is appropriate for a content update.</w:t>
      </w:r>
    </w:p>
    <w:p/>
    <w:p>
      <w:pPr>
        <w:pStyle w:val="Heading2"/>
      </w:pPr>
      <w:r>
        <w:t>CHG0039154 — MOOV Email Automation in HCM</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Bala Subramanyam Tadisetty</w:t>
            </w:r>
          </w:p>
        </w:tc>
      </w:tr>
      <w:tr>
        <w:tc>
          <w:tcPr>
            <w:tcW w:type="dxa" w:w="2160"/>
          </w:tcPr>
          <w:p>
            <w:r>
              <w:t>Requested By</w:t>
            </w:r>
          </w:p>
        </w:tc>
        <w:tc>
          <w:tcPr>
            <w:tcW w:type="dxa" w:w="2160"/>
          </w:tcPr>
          <w:p>
            <w:r>
              <w:t>Melinda Chiem</w:t>
            </w:r>
          </w:p>
        </w:tc>
        <w:tc>
          <w:tcPr>
            <w:tcW w:type="dxa" w:w="2160"/>
          </w:tcPr>
          <w:p>
            <w:r>
              <w:t>Planned Window</w:t>
            </w:r>
          </w:p>
        </w:tc>
        <w:tc>
          <w:tcPr>
            <w:tcW w:type="dxa" w:w="2160"/>
          </w:tcPr>
          <w:p>
            <w:r>
              <w:t>02/12/2026 14:00 – 16:00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Automate MOOV employee email domain setup: set primary email to @moov.health, add @vituity.com alias, add to MOOV employee list. Workato recipe update with department and job ID filtering.</w:t>
      </w:r>
    </w:p>
    <w:p>
      <w:r>
        <w:rPr>
          <w:b/>
        </w:rPr>
        <w:t xml:space="preserve">Implementation: </w:t>
      </w:r>
      <w:r>
        <w:t>[OK] 4 steps: log in to Workato, update recipe with MOOV domain logic, start recipe, log off.</w:t>
      </w:r>
    </w:p>
    <w:p>
      <w:r>
        <w:rPr>
          <w:b/>
        </w:rPr>
        <w:t xml:space="preserve">Backout: </w:t>
      </w:r>
      <w:r>
        <w:t>[OK] Revert to previous working version of recipe.</w:t>
      </w:r>
    </w:p>
    <w:p>
      <w:r>
        <w:rPr>
          <w:b/>
        </w:rPr>
        <w:t xml:space="preserve">Testing: </w:t>
      </w:r>
      <w:r>
        <w:t>[OK] Validated and tested email generation in lower env.</w:t>
      </w:r>
    </w:p>
    <w:p>
      <w:r>
        <w:rPr>
          <w:b/>
        </w:rPr>
        <w:t xml:space="preserve">Review Action: </w:t>
      </w:r>
      <w:r>
        <w:t>Confirm Bala has monitored jobs with no errors. Verify MOOV email routing is working.</w:t>
      </w:r>
    </w:p>
    <w:p/>
    <w:p>
      <w:pPr>
        <w:pStyle w:val="Heading2"/>
      </w:pPr>
      <w:r>
        <w:t>CHG0039141 — Convert Comments Field to Rich Text</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Parvathi Arun</w:t>
            </w:r>
          </w:p>
        </w:tc>
      </w:tr>
      <w:tr>
        <w:tc>
          <w:tcPr>
            <w:tcW w:type="dxa" w:w="2160"/>
          </w:tcPr>
          <w:p>
            <w:r>
              <w:t>Requested By</w:t>
            </w:r>
          </w:p>
        </w:tc>
        <w:tc>
          <w:tcPr>
            <w:tcW w:type="dxa" w:w="2160"/>
          </w:tcPr>
          <w:p>
            <w:r>
              <w:t>Taylor Heberling</w:t>
            </w:r>
          </w:p>
        </w:tc>
        <w:tc>
          <w:tcPr>
            <w:tcW w:type="dxa" w:w="2160"/>
          </w:tcPr>
          <w:p>
            <w:r>
              <w:t>Planned Window</w:t>
            </w:r>
          </w:p>
        </w:tc>
        <w:tc>
          <w:tcPr>
            <w:tcW w:type="dxa" w:w="2160"/>
          </w:tcPr>
          <w:p>
            <w:r>
              <w:t>02/12/2026 09:00 – 11:00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Convert the Comments field on the Line of Business object from Long Text Area to Rich Text Area in Salesforce. Requires updating dependent Apex classes and a flow before and after the data type change.</w:t>
      </w:r>
    </w:p>
    <w:p>
      <w:r>
        <w:rPr>
          <w:b/>
        </w:rPr>
        <w:t xml:space="preserve">Implementation: </w:t>
      </w:r>
      <w:r>
        <w:t>[OK] Comprehensive: changeset with 5 components, test class validation, step-by-step deploy.</w:t>
      </w:r>
    </w:p>
    <w:p>
      <w:r>
        <w:rPr>
          <w:b/>
        </w:rPr>
        <w:t xml:space="preserve">Backout: </w:t>
      </w:r>
      <w:r>
        <w:t>[OK] Detailed rollback: disable dependencies, revert field type, redeploy prior versions, reactivate, regression test.</w:t>
      </w:r>
    </w:p>
    <w:p>
      <w:r>
        <w:rPr>
          <w:b/>
        </w:rPr>
        <w:t xml:space="preserve">Testing: </w:t>
      </w:r>
      <w:r>
        <w:t>[OK] Impact analysis, unit tests, functional tests, deployment validation all completed in SB2.</w:t>
      </w:r>
    </w:p>
    <w:p>
      <w:r>
        <w:rPr>
          <w:b/>
        </w:rPr>
        <w:t xml:space="preserve">Review Action: </w:t>
      </w:r>
      <w:r>
        <w:t>Confirm with Taylor Heberling that rich text formatting is working as expected.</w:t>
      </w:r>
    </w:p>
    <w:p/>
    <w:p>
      <w:pPr>
        <w:pStyle w:val="Heading2"/>
      </w:pPr>
      <w:r>
        <w:t>CHG0039315 — New Configuration Items in ServiceNow</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Ray Blor</w:t>
            </w:r>
          </w:p>
        </w:tc>
      </w:tr>
      <w:tr>
        <w:tc>
          <w:tcPr>
            <w:tcW w:type="dxa" w:w="2160"/>
          </w:tcPr>
          <w:p>
            <w:r>
              <w:t>Requested By</w:t>
            </w:r>
          </w:p>
        </w:tc>
        <w:tc>
          <w:tcPr>
            <w:tcW w:type="dxa" w:w="2160"/>
          </w:tcPr>
          <w:p>
            <w:r>
              <w:t>Rosalinda Rafael</w:t>
            </w:r>
          </w:p>
        </w:tc>
        <w:tc>
          <w:tcPr>
            <w:tcW w:type="dxa" w:w="2160"/>
          </w:tcPr>
          <w:p>
            <w:r>
              <w:t>Planned Window</w:t>
            </w:r>
          </w:p>
        </w:tc>
        <w:tc>
          <w:tcPr>
            <w:tcW w:type="dxa" w:w="2160"/>
          </w:tcPr>
          <w:p>
            <w:r>
              <w:t>02/12/2026 09:00 – 11:00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Add 6 new Configuration Items to ServiceNow CMDB: Novarad PACS, NovaRis, Mmodal, Mirth Connect, Rscriptor (AI), Vendor Neutral Archive (VNA). Deployed via update set RB-CHG0039315.</w:t>
      </w:r>
    </w:p>
    <w:p>
      <w:r>
        <w:rPr>
          <w:b/>
        </w:rPr>
        <w:t xml:space="preserve">Implementation: </w:t>
      </w:r>
      <w:r>
        <w:t>[OK] Deploy update set from dev to production. Tested and reviewed by Vinod.</w:t>
      </w:r>
    </w:p>
    <w:p>
      <w:r>
        <w:rPr>
          <w:b/>
        </w:rPr>
        <w:t xml:space="preserve">Backout: </w:t>
      </w:r>
      <w:r>
        <w:t>[OK] Back out the update set. Trigger: update set errors out.</w:t>
      </w:r>
    </w:p>
    <w:p>
      <w:r>
        <w:rPr>
          <w:b/>
        </w:rPr>
        <w:t xml:space="preserve">Testing: </w:t>
      </w:r>
      <w:r>
        <w:t>[OK] Tested and reviewed by Vinod in dev. Ray reviews deployment in prod.</w:t>
      </w:r>
    </w:p>
    <w:p>
      <w:r>
        <w:rPr>
          <w:b/>
        </w:rPr>
        <w:t xml:space="preserve">Review Action: </w:t>
      </w:r>
      <w:r>
        <w:t>Confirm CIs are visible in CMDB and available for incident/CR assignment.</w:t>
      </w:r>
    </w:p>
    <w:p/>
    <w:p>
      <w:pPr>
        <w:pStyle w:val="Heading2"/>
      </w:pPr>
      <w:r>
        <w:t>CHG0039286 — Create AI Analysis Fields on NewHire/Recred Object</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Low</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Niraj Ganani</w:t>
            </w:r>
          </w:p>
        </w:tc>
      </w:tr>
      <w:tr>
        <w:tc>
          <w:tcPr>
            <w:tcW w:type="dxa" w:w="2160"/>
          </w:tcPr>
          <w:p>
            <w:r>
              <w:t>Requested By</w:t>
            </w:r>
          </w:p>
        </w:tc>
        <w:tc>
          <w:tcPr>
            <w:tcW w:type="dxa" w:w="2160"/>
          </w:tcPr>
          <w:p>
            <w:r>
              <w:t>Racquel Llavore</w:t>
            </w:r>
          </w:p>
        </w:tc>
        <w:tc>
          <w:tcPr>
            <w:tcW w:type="dxa" w:w="2160"/>
          </w:tcPr>
          <w:p>
            <w:r>
              <w:t>Planned Window</w:t>
            </w:r>
          </w:p>
        </w:tc>
        <w:tc>
          <w:tcPr>
            <w:tcW w:type="dxa" w:w="2160"/>
          </w:tcPr>
          <w:p>
            <w:r>
              <w:t>02/12/2026 10:00 – 10:30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Create 3 new AI Analysis fields (Licensure &amp; Privileges, Education, Work History) on the NewHire/Recred object in Salesforce to enable Workato Recredentialing integration. Preboarding integration already working; these fields unblock Recred.</w:t>
      </w:r>
    </w:p>
    <w:p>
      <w:r>
        <w:rPr>
          <w:b/>
        </w:rPr>
        <w:t xml:space="preserve">Implementation: </w:t>
      </w:r>
      <w:r>
        <w:t>[OK] 2 steps: create fields via Object Manager, update VF pages (NewHireRecredVF, NewHireRecredEdit). Changeset from SB2.</w:t>
      </w:r>
    </w:p>
    <w:p>
      <w:r>
        <w:rPr>
          <w:b/>
        </w:rPr>
        <w:t xml:space="preserve">Backout: </w:t>
      </w:r>
      <w:r>
        <w:t>[OK] Restore VF page backups, remove FLS for new fields, deploy changeset if required.</w:t>
      </w:r>
    </w:p>
    <w:p>
      <w:r>
        <w:rPr>
          <w:b/>
        </w:rPr>
        <w:t xml:space="preserve">Testing: </w:t>
      </w:r>
      <w:r>
        <w:t>[OK] Tested in Sandbox with Racquel Llavore.</w:t>
      </w:r>
    </w:p>
    <w:p>
      <w:r>
        <w:rPr>
          <w:b/>
        </w:rPr>
        <w:t xml:space="preserve">Review Action: </w:t>
      </w:r>
      <w:r>
        <w:t>Confirm with Racquel that AI fields are visible and Workato can write Recred analysis results.</w:t>
      </w:r>
    </w:p>
    <w:p/>
    <w:p>
      <w:pPr>
        <w:pStyle w:val="Heading2"/>
      </w:pPr>
      <w:r>
        <w:t>CHG0039221 — Add New Survey Responses to Survey Sender Report</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Moderate</w:t>
            </w:r>
          </w:p>
        </w:tc>
        <w:tc>
          <w:tcPr>
            <w:tcW w:type="dxa" w:w="2160"/>
          </w:tcPr>
          <w:p>
            <w:r>
              <w:t>Impact</w:t>
            </w:r>
          </w:p>
        </w:tc>
        <w:tc>
          <w:tcPr>
            <w:tcW w:type="dxa" w:w="2160"/>
          </w:tcPr>
          <w:p>
            <w:r>
              <w:t>3 - Low</w:t>
            </w:r>
          </w:p>
        </w:tc>
      </w:tr>
      <w:tr>
        <w:tc>
          <w:tcPr>
            <w:tcW w:type="dxa" w:w="2160"/>
          </w:tcPr>
          <w:p>
            <w:r>
              <w:t>Assignment Group</w:t>
            </w:r>
          </w:p>
        </w:tc>
        <w:tc>
          <w:tcPr>
            <w:tcW w:type="dxa" w:w="2160"/>
          </w:tcPr>
          <w:p>
            <w:r>
              <w:t>Enterprise Applications</w:t>
            </w:r>
          </w:p>
        </w:tc>
        <w:tc>
          <w:tcPr>
            <w:tcW w:type="dxa" w:w="2160"/>
          </w:tcPr>
          <w:p>
            <w:r>
              <w:t>Assigned To</w:t>
            </w:r>
          </w:p>
        </w:tc>
        <w:tc>
          <w:tcPr>
            <w:tcW w:type="dxa" w:w="2160"/>
          </w:tcPr>
          <w:p>
            <w:r>
              <w:t>Niraj Ganani</w:t>
            </w:r>
          </w:p>
        </w:tc>
      </w:tr>
      <w:tr>
        <w:tc>
          <w:tcPr>
            <w:tcW w:type="dxa" w:w="2160"/>
          </w:tcPr>
          <w:p>
            <w:r>
              <w:t>Requested By</w:t>
            </w:r>
          </w:p>
        </w:tc>
        <w:tc>
          <w:tcPr>
            <w:tcW w:type="dxa" w:w="2160"/>
          </w:tcPr>
          <w:p>
            <w:r>
              <w:t>Kelly Tremper</w:t>
            </w:r>
          </w:p>
        </w:tc>
        <w:tc>
          <w:tcPr>
            <w:tcW w:type="dxa" w:w="2160"/>
          </w:tcPr>
          <w:p>
            <w:r>
              <w:t>Planned Window</w:t>
            </w:r>
          </w:p>
        </w:tc>
        <w:tc>
          <w:tcPr>
            <w:tcW w:type="dxa" w:w="2160"/>
          </w:tcPr>
          <w:p>
            <w:r>
              <w:t>02/12/2026 10:00 – 10:30</w:t>
            </w:r>
          </w:p>
        </w:tc>
      </w:tr>
      <w:tr>
        <w:tc>
          <w:tcPr>
            <w:tcW w:type="dxa" w:w="2160"/>
          </w:tcPr>
          <w:p>
            <w:r>
              <w:t>Impl Plan</w:t>
            </w:r>
          </w:p>
        </w:tc>
        <w:tc>
          <w:tcPr>
            <w:tcW w:type="dxa" w:w="2160"/>
          </w:tcPr>
          <w:p>
            <w:r>
              <w:t>OK</w:t>
            </w:r>
          </w:p>
        </w:tc>
        <w:tc>
          <w:tcPr>
            <w:tcW w:type="dxa" w:w="2160"/>
          </w:tcPr>
          <w:p>
            <w:r>
              <w:t>Backout Plan</w:t>
            </w:r>
          </w:p>
        </w:tc>
        <w:tc>
          <w:tcPr>
            <w:tcW w:type="dxa" w:w="2160"/>
          </w:tcPr>
          <w:p>
            <w:r>
              <w:t>OK</w:t>
            </w:r>
          </w:p>
        </w:tc>
      </w:tr>
      <w:tr>
        <w:tc>
          <w:tcPr>
            <w:tcW w:type="dxa" w:w="2160"/>
          </w:tcPr>
          <w:p>
            <w:r>
              <w:t>Test Plan</w:t>
            </w:r>
          </w:p>
        </w:tc>
        <w:tc>
          <w:tcPr>
            <w:tcW w:type="dxa" w:w="2160"/>
          </w:tcPr>
          <w:p>
            <w:r>
              <w:t>OK</w:t>
            </w:r>
          </w:p>
        </w:tc>
        <w:tc>
          <w:tcPr>
            <w:tcW w:type="dxa" w:w="2160"/>
          </w:tcPr>
          <w:p>
            <w:r/>
          </w:p>
        </w:tc>
        <w:tc>
          <w:tcPr>
            <w:tcW w:type="dxa" w:w="2160"/>
          </w:tcPr>
          <w:p>
            <w:r/>
          </w:p>
        </w:tc>
      </w:tr>
    </w:tbl>
    <w:p/>
    <w:p>
      <w:r>
        <w:rPr>
          <w:b/>
        </w:rPr>
        <w:t xml:space="preserve">Description: </w:t>
      </w:r>
      <w:r>
        <w:t>Add SMS and Email survey responses to the existing Survey Sender report in Salesforce. Create new Survey, Survey Questions, and Notes records. No changeset needed — direct production data entry. Tracks NPS metric reviewed by the board.</w:t>
      </w:r>
    </w:p>
    <w:p>
      <w:r>
        <w:rPr>
          <w:b/>
        </w:rPr>
        <w:t xml:space="preserve">Implementation: </w:t>
      </w:r>
      <w:r>
        <w:t>[OK] Create records directly in Prod: App Launcher &gt; Survey Tab &gt; New. Standard data entry, no changeset.</w:t>
      </w:r>
    </w:p>
    <w:p>
      <w:r>
        <w:rPr>
          <w:b/>
        </w:rPr>
        <w:t xml:space="preserve">Backout: </w:t>
      </w:r>
      <w:r>
        <w:t>[OK] Delete newly created records.</w:t>
      </w:r>
    </w:p>
    <w:p>
      <w:r>
        <w:rPr>
          <w:b/>
        </w:rPr>
        <w:t xml:space="preserve">Testing: </w:t>
      </w:r>
      <w:r>
        <w:t>[OK] Tested in Sandbox with Savannah.</w:t>
      </w:r>
    </w:p>
    <w:p>
      <w:r>
        <w:rPr>
          <w:b/>
        </w:rPr>
        <w:t xml:space="preserve">Review Action: </w:t>
      </w:r>
      <w:r>
        <w:t>Confirm with Savannah that survey responses appear in report with correct source (SMS/Email) attribution.</w:t>
      </w:r>
    </w:p>
    <w:p/>
    <w:p>
      <w:pPr>
        <w:pStyle w:val="Heading1"/>
      </w:pPr>
      <w:r>
        <w:t>Closure Readiness Assessment</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Change</w:t>
            </w:r>
          </w:p>
        </w:tc>
        <w:tc>
          <w:tcPr>
            <w:tcW w:type="dxa" w:w="2160"/>
          </w:tcPr>
          <w:p>
            <w:r>
              <w:t>Post-Deploy Validated?</w:t>
            </w:r>
          </w:p>
        </w:tc>
        <w:tc>
          <w:tcPr>
            <w:tcW w:type="dxa" w:w="2160"/>
          </w:tcPr>
          <w:p>
            <w:r>
              <w:t>Outstanding Items</w:t>
            </w:r>
          </w:p>
        </w:tc>
        <w:tc>
          <w:tcPr>
            <w:tcW w:type="dxa" w:w="2160"/>
          </w:tcPr>
          <w:p>
            <w:r>
              <w:t>Ready to Close?</w:t>
            </w:r>
          </w:p>
        </w:tc>
      </w:tr>
      <w:tr>
        <w:tc>
          <w:tcPr>
            <w:tcW w:type="dxa" w:w="2160"/>
          </w:tcPr>
          <w:p>
            <w:r>
              <w:t>CHG0039321</w:t>
            </w:r>
          </w:p>
        </w:tc>
        <w:tc>
          <w:tcPr>
            <w:tcW w:type="dxa" w:w="2160"/>
          </w:tcPr>
          <w:p>
            <w:r>
              <w:t>Pending — Jill Truesdale</w:t>
            </w:r>
          </w:p>
        </w:tc>
        <w:tc>
          <w:tcPr>
            <w:tcW w:type="dxa" w:w="2160"/>
          </w:tcPr>
          <w:p>
            <w:r>
              <w:t>None identified</w:t>
            </w:r>
          </w:p>
        </w:tc>
        <w:tc>
          <w:tcPr>
            <w:tcW w:type="dxa" w:w="2160"/>
          </w:tcPr>
          <w:p>
            <w:r>
              <w:t>Yes, pending validation</w:t>
            </w:r>
          </w:p>
        </w:tc>
      </w:tr>
      <w:tr>
        <w:tc>
          <w:tcPr>
            <w:tcW w:type="dxa" w:w="2160"/>
          </w:tcPr>
          <w:p>
            <w:r>
              <w:t>CHG0039310</w:t>
            </w:r>
          </w:p>
        </w:tc>
        <w:tc>
          <w:tcPr>
            <w:tcW w:type="dxa" w:w="2160"/>
          </w:tcPr>
          <w:p>
            <w:r>
              <w:t>Pending — Jason Nguyen</w:t>
            </w:r>
          </w:p>
        </w:tc>
        <w:tc>
          <w:tcPr>
            <w:tcW w:type="dxa" w:w="2160"/>
          </w:tcPr>
          <w:p>
            <w:r>
              <w:t>Sites/BU field updated</w:t>
            </w:r>
          </w:p>
        </w:tc>
        <w:tc>
          <w:tcPr>
            <w:tcW w:type="dxa" w:w="2160"/>
          </w:tcPr>
          <w:p>
            <w:r>
              <w:t>Yes, pending validation</w:t>
            </w:r>
          </w:p>
        </w:tc>
      </w:tr>
      <w:tr>
        <w:tc>
          <w:tcPr>
            <w:tcW w:type="dxa" w:w="2160"/>
          </w:tcPr>
          <w:p>
            <w:r>
              <w:t>CHG0039294</w:t>
            </w:r>
          </w:p>
        </w:tc>
        <w:tc>
          <w:tcPr>
            <w:tcW w:type="dxa" w:w="2160"/>
          </w:tcPr>
          <w:p>
            <w:r>
              <w:t>Pending — Savannah</w:t>
            </w:r>
          </w:p>
        </w:tc>
        <w:tc>
          <w:tcPr>
            <w:tcW w:type="dxa" w:w="2160"/>
          </w:tcPr>
          <w:p>
            <w:r>
              <w:t>None identified</w:t>
            </w:r>
          </w:p>
        </w:tc>
        <w:tc>
          <w:tcPr>
            <w:tcW w:type="dxa" w:w="2160"/>
          </w:tcPr>
          <w:p>
            <w:r>
              <w:t>Yes, pending validation</w:t>
            </w:r>
          </w:p>
        </w:tc>
      </w:tr>
      <w:tr>
        <w:tc>
          <w:tcPr>
            <w:tcW w:type="dxa" w:w="2160"/>
          </w:tcPr>
          <w:p>
            <w:r>
              <w:t>CHG0039290</w:t>
            </w:r>
          </w:p>
        </w:tc>
        <w:tc>
          <w:tcPr>
            <w:tcW w:type="dxa" w:w="2160"/>
          </w:tcPr>
          <w:p>
            <w:r>
              <w:t>Pending — Nancy Nair/Sara Jew</w:t>
            </w:r>
          </w:p>
        </w:tc>
        <w:tc>
          <w:tcPr>
            <w:tcW w:type="dxa" w:w="2160"/>
          </w:tcPr>
          <w:p>
            <w:r>
              <w:t>Backout plan updated</w:t>
            </w:r>
          </w:p>
        </w:tc>
        <w:tc>
          <w:tcPr>
            <w:tcW w:type="dxa" w:w="2160"/>
          </w:tcPr>
          <w:p>
            <w:r>
              <w:t>Yes, pending validation</w:t>
            </w:r>
          </w:p>
        </w:tc>
      </w:tr>
      <w:tr>
        <w:tc>
          <w:tcPr>
            <w:tcW w:type="dxa" w:w="2160"/>
          </w:tcPr>
          <w:p>
            <w:r>
              <w:t>CHG0039267</w:t>
            </w:r>
          </w:p>
        </w:tc>
        <w:tc>
          <w:tcPr>
            <w:tcW w:type="dxa" w:w="2160"/>
          </w:tcPr>
          <w:p>
            <w:r>
              <w:t>Pending — first month-end run</w:t>
            </w:r>
          </w:p>
        </w:tc>
        <w:tc>
          <w:tcPr>
            <w:tcW w:type="dxa" w:w="2160"/>
          </w:tcPr>
          <w:p>
            <w:r>
              <w:t>Side-by-side comparison needed</w:t>
            </w:r>
          </w:p>
        </w:tc>
        <w:tc>
          <w:tcPr>
            <w:tcW w:type="dxa" w:w="2160"/>
          </w:tcPr>
          <w:p>
            <w:r>
              <w:t>Yes, after month-end</w:t>
            </w:r>
          </w:p>
        </w:tc>
      </w:tr>
      <w:tr>
        <w:tc>
          <w:tcPr>
            <w:tcW w:type="dxa" w:w="2160"/>
          </w:tcPr>
          <w:p>
            <w:r>
              <w:t>CHG0039266</w:t>
            </w:r>
          </w:p>
        </w:tc>
        <w:tc>
          <w:tcPr>
            <w:tcW w:type="dxa" w:w="2160"/>
          </w:tcPr>
          <w:p>
            <w:r>
              <w:t>Pending — Selena LomeliGraham</w:t>
            </w:r>
          </w:p>
        </w:tc>
        <w:tc>
          <w:tcPr>
            <w:tcW w:type="dxa" w:w="2160"/>
          </w:tcPr>
          <w:p>
            <w:r>
              <w:t>Risk rating review recommended</w:t>
            </w:r>
          </w:p>
        </w:tc>
        <w:tc>
          <w:tcPr>
            <w:tcW w:type="dxa" w:w="2160"/>
          </w:tcPr>
          <w:p>
            <w:r>
              <w:t>Yes, pending validation</w:t>
            </w:r>
          </w:p>
        </w:tc>
      </w:tr>
      <w:tr>
        <w:tc>
          <w:tcPr>
            <w:tcW w:type="dxa" w:w="2160"/>
          </w:tcPr>
          <w:p>
            <w:r>
              <w:t>CHG0039154</w:t>
            </w:r>
          </w:p>
        </w:tc>
        <w:tc>
          <w:tcPr>
            <w:tcW w:type="dxa" w:w="2160"/>
          </w:tcPr>
          <w:p>
            <w:r>
              <w:t>Pending — Bala Tadisetty</w:t>
            </w:r>
          </w:p>
        </w:tc>
        <w:tc>
          <w:tcPr>
            <w:tcW w:type="dxa" w:w="2160"/>
          </w:tcPr>
          <w:p>
            <w:r>
              <w:t>None identified</w:t>
            </w:r>
          </w:p>
        </w:tc>
        <w:tc>
          <w:tcPr>
            <w:tcW w:type="dxa" w:w="2160"/>
          </w:tcPr>
          <w:p>
            <w:r>
              <w:t>Yes, pending validation</w:t>
            </w:r>
          </w:p>
        </w:tc>
      </w:tr>
      <w:tr>
        <w:tc>
          <w:tcPr>
            <w:tcW w:type="dxa" w:w="2160"/>
          </w:tcPr>
          <w:p>
            <w:r>
              <w:t>CHG0039141</w:t>
            </w:r>
          </w:p>
        </w:tc>
        <w:tc>
          <w:tcPr>
            <w:tcW w:type="dxa" w:w="2160"/>
          </w:tcPr>
          <w:p>
            <w:r>
              <w:t>Pending — Taylor Heberling</w:t>
            </w:r>
          </w:p>
        </w:tc>
        <w:tc>
          <w:tcPr>
            <w:tcW w:type="dxa" w:w="2160"/>
          </w:tcPr>
          <w:p>
            <w:r>
              <w:t>None identified</w:t>
            </w:r>
          </w:p>
        </w:tc>
        <w:tc>
          <w:tcPr>
            <w:tcW w:type="dxa" w:w="2160"/>
          </w:tcPr>
          <w:p>
            <w:r>
              <w:t>Yes, pending validation</w:t>
            </w:r>
          </w:p>
        </w:tc>
      </w:tr>
      <w:tr>
        <w:tc>
          <w:tcPr>
            <w:tcW w:type="dxa" w:w="2160"/>
          </w:tcPr>
          <w:p>
            <w:r>
              <w:t>CHG0039315</w:t>
            </w:r>
          </w:p>
        </w:tc>
        <w:tc>
          <w:tcPr>
            <w:tcW w:type="dxa" w:w="2160"/>
          </w:tcPr>
          <w:p>
            <w:r>
              <w:t>Pending — Ray Blor/Vinod</w:t>
            </w:r>
          </w:p>
        </w:tc>
        <w:tc>
          <w:tcPr>
            <w:tcW w:type="dxa" w:w="2160"/>
          </w:tcPr>
          <w:p>
            <w:r>
              <w:t>None identified</w:t>
            </w:r>
          </w:p>
        </w:tc>
        <w:tc>
          <w:tcPr>
            <w:tcW w:type="dxa" w:w="2160"/>
          </w:tcPr>
          <w:p>
            <w:r>
              <w:t>Yes, pending validation</w:t>
            </w:r>
          </w:p>
        </w:tc>
      </w:tr>
      <w:tr>
        <w:tc>
          <w:tcPr>
            <w:tcW w:type="dxa" w:w="2160"/>
          </w:tcPr>
          <w:p>
            <w:r>
              <w:t>CHG0039286</w:t>
            </w:r>
          </w:p>
        </w:tc>
        <w:tc>
          <w:tcPr>
            <w:tcW w:type="dxa" w:w="2160"/>
          </w:tcPr>
          <w:p>
            <w:r>
              <w:t>Pending — Racquel Llavore</w:t>
            </w:r>
          </w:p>
        </w:tc>
        <w:tc>
          <w:tcPr>
            <w:tcW w:type="dxa" w:w="2160"/>
          </w:tcPr>
          <w:p>
            <w:r>
              <w:t>None identified</w:t>
            </w:r>
          </w:p>
        </w:tc>
        <w:tc>
          <w:tcPr>
            <w:tcW w:type="dxa" w:w="2160"/>
          </w:tcPr>
          <w:p>
            <w:r>
              <w:t>Yes, pending validation</w:t>
            </w:r>
          </w:p>
        </w:tc>
      </w:tr>
      <w:tr>
        <w:tc>
          <w:tcPr>
            <w:tcW w:type="dxa" w:w="2160"/>
          </w:tcPr>
          <w:p>
            <w:r>
              <w:t>CHG0039221</w:t>
            </w:r>
          </w:p>
        </w:tc>
        <w:tc>
          <w:tcPr>
            <w:tcW w:type="dxa" w:w="2160"/>
          </w:tcPr>
          <w:p>
            <w:r>
              <w:t>Pending — Savannah</w:t>
            </w:r>
          </w:p>
        </w:tc>
        <w:tc>
          <w:tcPr>
            <w:tcW w:type="dxa" w:w="2160"/>
          </w:tcPr>
          <w:p>
            <w:r>
              <w:t>None identified</w:t>
            </w:r>
          </w:p>
        </w:tc>
        <w:tc>
          <w:tcPr>
            <w:tcW w:type="dxa" w:w="2160"/>
          </w:tcPr>
          <w:p>
            <w:r>
              <w:t>Yes, pending validation</w:t>
            </w:r>
          </w:p>
        </w:tc>
      </w:tr>
    </w:tbl>
    <w:p/>
    <w:p>
      <w:pPr>
        <w:pStyle w:val="Heading1"/>
      </w:pPr>
      <w:r>
        <w:t>Recommendations</w:t>
      </w:r>
    </w:p>
    <w:p>
      <w:pPr>
        <w:pStyle w:val="ListNumber"/>
      </w:pPr>
      <w:r>
        <w:t>Change owners should add post-deployment validation comments to each CR and advance to Closed once confirmed successful.</w:t>
      </w:r>
    </w:p>
    <w:p>
      <w:pPr>
        <w:pStyle w:val="ListNumber"/>
      </w:pPr>
      <w:r>
        <w:t>CHG0039310: Sites/BU impacted field has been updated by Jason Nguyen. Ready for closure pending validation.</w:t>
      </w:r>
    </w:p>
    <w:p>
      <w:pPr>
        <w:pStyle w:val="ListNumber"/>
      </w:pPr>
      <w:r>
        <w:t>CHG0039266: Review whether Very High / High risk rating is appropriate for a content-only update.</w:t>
      </w:r>
    </w:p>
    <w:p>
      <w:pPr>
        <w:pStyle w:val="ListNumber"/>
      </w:pPr>
      <w:r>
        <w:t>CHG0039290: Backout plan has been updated by Paramasivan to include changeset rollback. Ready for closure.</w:t>
      </w:r>
    </w:p>
    <w:p>
      <w:pPr>
        <w:pStyle w:val="ListNumber"/>
      </w:pPr>
      <w:r>
        <w:t>CHG0039267: This change cannot be fully validated until the first month-end run. Consider leaving in Review until the side-by-side comparison is complete.</w:t>
      </w:r>
    </w:p>
    <w:p/>
    <w:p>
      <w:pPr>
        <w:jc w:val="center"/>
      </w:pPr>
      <w:r>
        <w:rPr>
          <w:color w:val="808080"/>
          <w:sz w:val="18"/>
        </w:rPr>
        <w:t>Enterprise Architecture | Vituity Information Technology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