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88" w:lineRule="auto"/>
        <w:ind w:left="42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SURAT PERJANJIAN PENGGUNAAN DATA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Nomor : </w:t>
      </w:r>
      <w:r w:rsidDel="00000000" w:rsidR="00000000" w:rsidRPr="00000000">
        <w:rPr>
          <w:sz w:val="21"/>
          <w:szCs w:val="21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9" w:lineRule="auto"/>
        <w:ind w:left="161" w:right="3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Pada hari ini Kamis, tanggal</w:t>
      </w:r>
      <w:r w:rsidDel="00000000" w:rsidR="00000000" w:rsidRPr="00000000">
        <w:rPr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bulan </w:t>
      </w:r>
      <w:r w:rsidDel="00000000" w:rsidR="00000000" w:rsidRPr="00000000">
        <w:rPr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tahun </w:t>
      </w:r>
      <w:r w:rsidDel="00000000" w:rsidR="00000000" w:rsidRPr="00000000">
        <w:rPr>
          <w:rtl w:val="0"/>
        </w:rPr>
        <w:t xml:space="preserve">2023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yang bertanda tangan di bawah ini:</w:t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2"/>
        </w:numPr>
        <w:tabs>
          <w:tab w:val="left" w:leader="none" w:pos="536"/>
          <w:tab w:val="left" w:leader="none" w:pos="537"/>
        </w:tabs>
        <w:spacing w:before="40" w:lineRule="auto"/>
        <w:ind w:left="536" w:hanging="376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Dr. Ir. Irawati Tjipto Priyanti, M.T.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9" w:lineRule="auto"/>
        <w:ind w:left="926" w:right="114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Kepala Pusat Data dan Sarana Informatika, dalam hal ini bertindak untuk dan atas nama Pusat Data dan Sarana Informatika, berkedudukan di Jl. Medan Merdeka Barat No. 9 Jakarta 10110 Gedung Utama Lantai 4, selanjutnya disebut sebagai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WALI DATA DAN/ATAU INFORMASI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2"/>
        </w:numPr>
        <w:tabs>
          <w:tab w:val="left" w:leader="none" w:pos="536"/>
          <w:tab w:val="left" w:leader="none" w:pos="537"/>
        </w:tabs>
        <w:spacing w:before="40" w:lineRule="auto"/>
        <w:ind w:left="536" w:firstLine="161"/>
        <w:rPr/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9" w:lineRule="auto"/>
        <w:ind w:left="926" w:right="121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direktur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berkedudukan di </w:t>
      </w:r>
      <w:r w:rsidDel="00000000" w:rsidR="00000000" w:rsidRPr="00000000">
        <w:rPr>
          <w:rtl w:val="0"/>
        </w:rPr>
        <w:t xml:space="preserve">jalan kemerdekaan 0212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selanjutnya disebut sebagai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PENERIMA DATA DAN/ATAU INFORMASI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9" w:lineRule="auto"/>
        <w:ind w:left="161" w:right="34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Kedua belah pihak sepakat mengikatkan diri dalam Perjanjian Penggunaan Data dan/atau Informasi dengan ketentuan-ketentuan sebagaimana tertuang dalam Pasal-Pasal sebagai berikut: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7"/>
        </w:tabs>
        <w:spacing w:after="0" w:before="40" w:line="249" w:lineRule="auto"/>
        <w:ind w:left="536" w:right="119" w:hanging="375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WALI DATA DAN/ATAU INFORMASI menyetujui untuk mengajukan permintaan rekaman data dan/atau informasi kepada BPS: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40" w:lineRule="auto"/>
        <w:ind w:left="587" w:firstLine="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(Terlampir)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7"/>
        </w:tabs>
        <w:spacing w:after="0" w:before="40" w:line="249" w:lineRule="auto"/>
        <w:ind w:left="536" w:right="121" w:hanging="375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PENERIMA DATA DAN/ATAU INFORMASI menyetujui persyaratan yang ditentukan oleh PENYEDIA DATA DAN/ATAU INFORMASI, yaitu: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7"/>
        </w:tabs>
        <w:spacing w:after="0" w:before="40" w:line="249" w:lineRule="auto"/>
        <w:ind w:left="926" w:right="111" w:hanging="39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PENERIMA DATA DAN/ATAU INFORMASI merupakan pengguna akhir dan tidak akan membuat salinan dari rekaman data dan/atau publikasi tersebut untuk keperluan orang lain atau organisasi lain;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7"/>
        </w:tabs>
        <w:spacing w:after="0" w:before="40" w:line="249" w:lineRule="auto"/>
        <w:ind w:left="926" w:right="117" w:hanging="39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PENERIMA DATA DAN/ATAU INFORMASI akan memakai rekaman data dan/atau informasi hanya untuk keperluan penelitian dan analisis bagi PENERIMA DATA DAN/ATAU INFORMASI dan tidak merugikan kepentingan negara, khusus untuk peta digital wilayah kerja statistik hanya digunakan untuk kegiatan statistik dan hanya untuk penyajian data yang dihasilkan oleh PENYEDIA DATA DAN/ATAU INFORMASI;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7"/>
        </w:tabs>
        <w:spacing w:after="0" w:before="40" w:line="249" w:lineRule="auto"/>
        <w:ind w:left="926" w:right="120" w:hanging="39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PENERIMA DATA DAN/ATAU INFORMASI dilarang untuk menggunakan rekaman data dan/atau informasi tersebut untuk suatu kegiatan yang bertujuan untuk mendapatkan suatu keuntungan, baik secara langsung maupun tidak langsung;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7"/>
        </w:tabs>
        <w:spacing w:after="0" w:before="40" w:line="249" w:lineRule="auto"/>
        <w:ind w:left="926" w:right="114" w:hanging="39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PENERIMA DATA DAN/ATAU INFORMASI dapat menggunakan data dan/atau informasi untuk kepentingan lain dengan mengajukan abstraksi baru. Penggunaan rekaman untuk keperluan lain yang menyimpang dari syarat sebagaimana tersebut pada huruf a dan b perlu mendapat persetujuan teknis terlebih dahulu dari Kepala Pusat Data dan Sarana Informatika;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7"/>
        </w:tabs>
        <w:spacing w:after="0" w:before="40" w:line="249" w:lineRule="auto"/>
        <w:ind w:left="926" w:right="114" w:hanging="39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PENERIMA DATA DAN/ATAU INFORMASI wajib mencantumkan sumber data pada hasil penelitiannya;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7"/>
        </w:tabs>
        <w:spacing w:after="0" w:before="40" w:line="249" w:lineRule="auto"/>
        <w:ind w:left="926" w:right="115" w:hanging="39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PENERIMA DATA DAN/ATAU INFORMASI wajib menyerahkan hasil penelitiannya kepada PENYEDIA DATA DAN/ATAU INFORMASI;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7"/>
        </w:tabs>
        <w:spacing w:after="0" w:before="40" w:line="249" w:lineRule="auto"/>
        <w:ind w:left="926" w:right="115" w:hanging="39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PENERIMA DATA DAN/ATAU INFORMASI diperbolehkan untuk mengolah data bersama Pihak Ketiga dengan catatan melampirkan NDA antara Pihak Ketiga dan PENERIMA DATA DAN/ATAU INFORMASI.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7"/>
        </w:tabs>
        <w:spacing w:after="0" w:before="40" w:line="249" w:lineRule="auto"/>
        <w:ind w:left="536" w:right="116" w:hanging="375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Semua data dan/atau informasi dan keterangan yang ada di dalam rekaman (Jenis Data) adalah rahasia dan tetap menjadi milik Badan Pusat Statistik yang didistribusikan melalui WALI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7"/>
        </w:tabs>
        <w:spacing w:after="0" w:before="40" w:line="249" w:lineRule="auto"/>
        <w:ind w:left="536" w:right="115" w:hanging="375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Perjanjian penggunaan data dan/atau informasi ini dibuat dalam rangkap 2 (dua) dengan materai cukup, ditandatangani oleh PARA PIHAK, dan mempunyai kekuatan hukum sama, dan PARA PIHAK masing-masing mendapat 1 (satu) rangkap.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02"/>
        </w:tabs>
        <w:spacing w:after="0" w:before="40" w:line="240" w:lineRule="auto"/>
        <w:ind w:left="63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WALI DATA DAN/ATAU INFORMASI</w:t>
        <w:tab/>
        <w:t xml:space="preserve">PENERIMA DATA DAN/ATAU INFORMASI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03"/>
        </w:tabs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Dr. Ir. Irawati Tjipto Priyanti, M.T.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</w:t>
      </w:r>
      <w:r w:rsidDel="00000000" w:rsidR="00000000" w:rsidRPr="00000000">
        <w:rPr>
          <w:u w:val="single"/>
          <w:rtl w:val="0"/>
        </w:rPr>
        <w:t xml:space="preserve">danu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03"/>
        </w:tabs>
        <w:spacing w:after="0" w:before="40" w:line="240" w:lineRule="auto"/>
        <w:ind w:left="2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10" w:orient="portrait"/>
          <w:pgMar w:bottom="280" w:top="820" w:left="740" w:right="78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Kepala Pusat Data dan Sarana Informatika                        </w:t>
      </w:r>
      <w:r w:rsidDel="00000000" w:rsidR="00000000" w:rsidRPr="00000000">
        <w:rPr>
          <w:rtl w:val="0"/>
        </w:rPr>
        <w:t xml:space="preserve">direktur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11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Lampiran SPPD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Nomor : </w:t>
      </w:r>
    </w:p>
    <w:tbl>
      <w:tblGrid>
        <w:gridCol w:w="700" w:type="dxa"/>
        <w:gridCol w:w="9000" w:type="dxa"/>
      </w:tblGrid>
      <w:tblPr>
        <w:tblW w:w="10000" w:type="dxa"/>
        <w:tblLayout w:type="autofit"/>
        <w:bidiVisual w:val="0"/>
        <w:tblBorders>
          <w:top w:val="single" w:sz="5" w:color="green"/>
          <w:left w:val="single" w:sz="5" w:color="green"/>
          <w:right w:val="single" w:sz="5" w:color="green"/>
          <w:bottom w:val="single" w:sz="5" w:color="green"/>
          <w:insideH w:val="single" w:sz="5" w:color="green"/>
          <w:insideV w:val="single" w:sz="5" w:color="green"/>
        </w:tblBorders>
      </w:tblPr>
      <w:tr>
        <w:trPr/>
        <w:tc>
          <w:tcPr>
            <w:tcW w:w="7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No</w:t>
            </w:r>
          </w:p>
        </w:tc>
        <w:tc>
          <w:tcPr>
            <w:tcW w:w="90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Jenis Data dan/atau Informasi</w:t>
            </w:r>
          </w:p>
        </w:tc>
      </w:tr>
      <w:tr>
        <w:trPr/>
        <w:tc>
          <w:tcPr>
            <w:tcW w:w="7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0"/>
                <w:bCs w:val="0"/>
              </w:rPr>
              <w:t xml:space="preserve">1</w:t>
            </w:r>
          </w:p>
        </w:tc>
        <w:tc>
          <w:tcPr>
            <w:tcW w:w="90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0"/>
                <w:bCs w:val="0"/>
              </w:rPr>
              <w:t xml:space="preserve">Sensus Penduduk 2010 (HOUSE 2)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*) Di isi dengan daftar data yang sudah disetujui oleh BPS</w:t>
      </w:r>
    </w:p>
    <w:sectPr>
      <w:type w:val="nextPage"/>
      <w:pgSz w:h="16840" w:w="11910" w:orient="portrait"/>
      <w:pgMar w:bottom="280" w:top="420" w:left="740" w:right="7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536" w:hanging="375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lvlText w:val="%2."/>
      <w:lvlJc w:val="left"/>
      <w:pPr>
        <w:ind w:left="926" w:hanging="390"/>
      </w:pPr>
      <w:rPr>
        <w:rFonts w:ascii="Arial" w:cs="Arial" w:eastAsia="Arial" w:hAnsi="Arial"/>
        <w:sz w:val="21"/>
        <w:szCs w:val="21"/>
      </w:rPr>
    </w:lvl>
    <w:lvl w:ilvl="2">
      <w:start w:val="0"/>
      <w:numFmt w:val="bullet"/>
      <w:lvlText w:val="•"/>
      <w:lvlJc w:val="left"/>
      <w:pPr>
        <w:ind w:left="1971" w:hanging="390"/>
      </w:pPr>
      <w:rPr/>
    </w:lvl>
    <w:lvl w:ilvl="3">
      <w:start w:val="0"/>
      <w:numFmt w:val="bullet"/>
      <w:lvlText w:val="•"/>
      <w:lvlJc w:val="left"/>
      <w:pPr>
        <w:ind w:left="3023" w:hanging="390"/>
      </w:pPr>
      <w:rPr/>
    </w:lvl>
    <w:lvl w:ilvl="4">
      <w:start w:val="0"/>
      <w:numFmt w:val="bullet"/>
      <w:lvlText w:val="•"/>
      <w:lvlJc w:val="left"/>
      <w:pPr>
        <w:ind w:left="4075" w:hanging="390"/>
      </w:pPr>
      <w:rPr/>
    </w:lvl>
    <w:lvl w:ilvl="5">
      <w:start w:val="0"/>
      <w:numFmt w:val="bullet"/>
      <w:lvlText w:val="•"/>
      <w:lvlJc w:val="left"/>
      <w:pPr>
        <w:ind w:left="5126" w:hanging="390"/>
      </w:pPr>
      <w:rPr/>
    </w:lvl>
    <w:lvl w:ilvl="6">
      <w:start w:val="0"/>
      <w:numFmt w:val="bullet"/>
      <w:lvlText w:val="•"/>
      <w:lvlJc w:val="left"/>
      <w:pPr>
        <w:ind w:left="6178" w:hanging="390"/>
      </w:pPr>
      <w:rPr/>
    </w:lvl>
    <w:lvl w:ilvl="7">
      <w:start w:val="0"/>
      <w:numFmt w:val="bullet"/>
      <w:lvlText w:val="•"/>
      <w:lvlJc w:val="left"/>
      <w:pPr>
        <w:ind w:left="7230" w:hanging="390"/>
      </w:pPr>
      <w:rPr/>
    </w:lvl>
    <w:lvl w:ilvl="8">
      <w:start w:val="0"/>
      <w:numFmt w:val="bullet"/>
      <w:lvlText w:val="•"/>
      <w:lvlJc w:val="left"/>
      <w:pPr>
        <w:ind w:left="8282" w:hanging="390"/>
      </w:pPr>
      <w:rPr/>
    </w:lvl>
  </w:abstractNum>
  <w:abstractNum w:abstractNumId="2">
    <w:lvl w:ilvl="0">
      <w:start w:val="1"/>
      <w:numFmt w:val="upperRoman"/>
      <w:lvlText w:val="%1"/>
      <w:lvlJc w:val="left"/>
      <w:pPr>
        <w:ind w:left="536" w:hanging="375"/>
      </w:pPr>
      <w:rPr>
        <w:rFonts w:ascii="Arial" w:cs="Arial" w:eastAsia="Arial" w:hAnsi="Arial"/>
        <w:sz w:val="21"/>
        <w:szCs w:val="21"/>
      </w:rPr>
    </w:lvl>
    <w:lvl w:ilvl="1">
      <w:start w:val="0"/>
      <w:numFmt w:val="bullet"/>
      <w:lvlText w:val="•"/>
      <w:lvlJc w:val="left"/>
      <w:pPr>
        <w:ind w:left="1524" w:hanging="375"/>
      </w:pPr>
      <w:rPr/>
    </w:lvl>
    <w:lvl w:ilvl="2">
      <w:start w:val="0"/>
      <w:numFmt w:val="bullet"/>
      <w:lvlText w:val="•"/>
      <w:lvlJc w:val="left"/>
      <w:pPr>
        <w:ind w:left="2509" w:hanging="375"/>
      </w:pPr>
      <w:rPr/>
    </w:lvl>
    <w:lvl w:ilvl="3">
      <w:start w:val="0"/>
      <w:numFmt w:val="bullet"/>
      <w:lvlText w:val="•"/>
      <w:lvlJc w:val="left"/>
      <w:pPr>
        <w:ind w:left="3493" w:hanging="375"/>
      </w:pPr>
      <w:rPr/>
    </w:lvl>
    <w:lvl w:ilvl="4">
      <w:start w:val="0"/>
      <w:numFmt w:val="bullet"/>
      <w:lvlText w:val="•"/>
      <w:lvlJc w:val="left"/>
      <w:pPr>
        <w:ind w:left="4478" w:hanging="375"/>
      </w:pPr>
      <w:rPr/>
    </w:lvl>
    <w:lvl w:ilvl="5">
      <w:start w:val="0"/>
      <w:numFmt w:val="bullet"/>
      <w:lvlText w:val="•"/>
      <w:lvlJc w:val="left"/>
      <w:pPr>
        <w:ind w:left="5462" w:hanging="375"/>
      </w:pPr>
      <w:rPr/>
    </w:lvl>
    <w:lvl w:ilvl="6">
      <w:start w:val="0"/>
      <w:numFmt w:val="bullet"/>
      <w:lvlText w:val="•"/>
      <w:lvlJc w:val="left"/>
      <w:pPr>
        <w:ind w:left="6447" w:hanging="375"/>
      </w:pPr>
      <w:rPr/>
    </w:lvl>
    <w:lvl w:ilvl="7">
      <w:start w:val="0"/>
      <w:numFmt w:val="bullet"/>
      <w:lvlText w:val="•"/>
      <w:lvlJc w:val="left"/>
      <w:pPr>
        <w:ind w:left="7431" w:hanging="375"/>
      </w:pPr>
      <w:rPr/>
    </w:lvl>
    <w:lvl w:ilvl="8">
      <w:start w:val="0"/>
      <w:numFmt w:val="bullet"/>
      <w:lvlText w:val="•"/>
      <w:lvlJc w:val="left"/>
      <w:pPr>
        <w:ind w:left="8416" w:hanging="375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64" w:lineRule="auto"/>
      <w:ind w:left="536" w:hanging="376"/>
    </w:pPr>
    <w:rPr>
      <w:rFonts w:ascii="Book Antiqua" w:cs="Book Antiqua" w:eastAsia="Book Antiqua" w:hAnsi="Book Antiqua"/>
      <w:b w:val="1"/>
      <w:sz w:val="21"/>
      <w:szCs w:val="2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