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b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干粉灭火系统</w:t>
      </w:r>
      <w:r>
        <w:rPr>
          <w:rFonts w:ascii="Arial" w:hAnsi="Arial" w:cs="Arial"/>
          <w:b/>
          <w:bCs/>
          <w:sz w:val="18"/>
          <w:szCs w:val="18"/>
        </w:rPr>
        <w:t>Powder Extinguishing Systems</w:t>
      </w:r>
    </w:p>
    <w:p>
      <w:pPr>
        <w:rPr>
          <w:rFonts w:ascii="Arial" w:hAnsi="Arial" w:cs="Arial"/>
          <w:b/>
          <w:bCs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5</w:t>
      </w:r>
    </w:p>
    <w:tbl>
      <w:tblPr>
        <w:tblStyle w:val="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9"/>
        <w:gridCol w:w="3587"/>
        <w:gridCol w:w="2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7" w:hRule="atLeast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8" w:space="0"/>
              <w:right w:val="single" w:color="auto" w:sz="8" w:space="0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系统描述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技术参数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System / Technical Information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：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干粉罐数量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×干粉罐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>Capacity of Cylinders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>{{ganfenCount}}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       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 xml:space="preserve">        </w:t>
            </w:r>
          </w:p>
          <w:p>
            <w:pPr>
              <w:jc w:val="left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气瓶数量</w:t>
            </w:r>
            <w:r>
              <w:rPr>
                <w:rFonts w:ascii="Arial" w:hAnsi="Arial" w:cs="Arial"/>
                <w:b/>
                <w:sz w:val="18"/>
                <w:szCs w:val="18"/>
              </w:rPr>
              <w:t>Quantity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×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驱动气瓶容积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Capacity of Pilot Cylinders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>{{StartCount}}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 xml:space="preserve">           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                        </w:t>
            </w:r>
          </w:p>
          <w:p>
            <w:pPr>
              <w:jc w:val="lef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sz w:val="18"/>
                <w:szCs w:val="18"/>
              </w:rPr>
              <w:t>覆盖保护区域</w:t>
            </w:r>
            <w:r>
              <w:rPr>
                <w:rFonts w:ascii="Arial" w:hAnsi="Arial" w:cs="Arial"/>
                <w:b/>
                <w:sz w:val="18"/>
                <w:szCs w:val="18"/>
              </w:rPr>
              <w:t>Covering</w:t>
            </w:r>
            <w:r>
              <w:rPr>
                <w:rFonts w:hint="eastAsia" w:ascii="Arial" w:hAnsi="Arial" w:cs="Arial"/>
                <w:b/>
                <w:sz w:val="18"/>
                <w:szCs w:val="18"/>
              </w:rPr>
              <w:t>：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  </w:t>
            </w:r>
            <w:r>
              <w:rPr>
                <w:rFonts w:hint="eastAsia" w:ascii="Arial" w:hAnsi="Arial" w:cs="Arial"/>
                <w:b/>
                <w:sz w:val="18"/>
                <w:szCs w:val="18"/>
                <w:u w:val="single"/>
              </w:rPr>
              <w:t>{{gfProtectArea}}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  <w:u w:val="single"/>
              </w:rPr>
              <w:t xml:space="preserve">                                                                           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1" w:type="pct"/>
            <w:tcBorders>
              <w:left w:val="single" w:color="auto" w:sz="8" w:space="0"/>
              <w:right w:val="nil"/>
            </w:tcBorders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检验和试验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Inspection/Tests</w:t>
            </w:r>
          </w:p>
        </w:tc>
        <w:tc>
          <w:tcPr>
            <w:tcW w:w="1874" w:type="pct"/>
            <w:tcBorders>
              <w:left w:val="nil"/>
            </w:tcBorders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全部检验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Complete Inspection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■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局部检验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Partial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备注</w:t>
            </w:r>
          </w:p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系统外观检查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System appearance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合格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/Qualified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阀门检查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Valve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3.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压力调节器有效性检查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Validity check of pressure regulator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4.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>干粉搅拌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Stir</w:t>
            </w:r>
            <w:r>
              <w:rPr>
                <w:rFonts w:hint="eastAsia" w:ascii="Arial" w:hAnsi="宋体" w:cs="宋体"/>
                <w:b/>
                <w:bCs/>
                <w:sz w:val="18"/>
                <w:szCs w:val="18"/>
              </w:rPr>
              <w:t xml:space="preserve"> d</w:t>
            </w:r>
            <w:r>
              <w:rPr>
                <w:rFonts w:ascii="Arial" w:hAnsi="宋体" w:cs="宋体"/>
                <w:b/>
                <w:bCs/>
                <w:sz w:val="18"/>
                <w:szCs w:val="18"/>
              </w:rPr>
              <w:t>ry powder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管线吹扫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Pipeline blowing through out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控制阀和分区阀的本地和遥控操作试验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Local and remote operation tests of control valves and zone valves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7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推进气体钢瓶检查</w:t>
            </w:r>
          </w:p>
          <w:p>
            <w:pPr>
              <w:spacing w:line="240" w:lineRule="exact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Pushing Gas Cylinder Inspection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干粉含水量检查</w:t>
            </w:r>
          </w:p>
          <w:p>
            <w:pPr>
              <w:spacing w:line="240" w:lineRule="exact"/>
              <w:rPr>
                <w:rFonts w:ascii="宋体" w:cs="宋体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Dry powder moisture content check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  <w:rPr>
                <w:rFonts w:ascii="Arial" w:hAnsi="宋体" w:cs="宋体"/>
                <w:b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9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 xml:space="preserve"> 干粉容器、安全阀和排放软管的压力试验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Pressure test of dry powder container, safety valve and discharge hose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3885" w:type="pct"/>
            <w:gridSpan w:val="2"/>
            <w:tcBorders>
              <w:left w:val="single" w:color="auto" w:sz="8" w:space="0"/>
            </w:tcBorders>
          </w:tcPr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宋体" w:cs="宋体"/>
                <w:b/>
                <w:bCs/>
                <w:sz w:val="18"/>
                <w:szCs w:val="18"/>
              </w:rPr>
              <w:t>□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干粉容器的水压试验或无损检测</w:t>
            </w:r>
          </w:p>
          <w:p>
            <w:pPr>
              <w:spacing w:line="24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Hydrostatic test or non-destructive test of dry powder tank</w:t>
            </w:r>
          </w:p>
        </w:tc>
        <w:tc>
          <w:tcPr>
            <w:tcW w:w="1115" w:type="pct"/>
            <w:tcBorders>
              <w:right w:val="single" w:color="auto" w:sz="8" w:space="0"/>
            </w:tcBorders>
            <w:vAlign w:val="center"/>
          </w:tcPr>
          <w:p>
            <w:pPr>
              <w:spacing w:line="240" w:lineRule="exact"/>
              <w:jc w:val="center"/>
            </w:pPr>
          </w:p>
        </w:tc>
      </w:tr>
    </w:tbl>
    <w:p>
      <w:pPr>
        <w:rPr>
          <w:rFonts w:ascii="Arial" w:hAnsi="Arial" w:cs="Arial"/>
          <w:sz w:val="18"/>
          <w:szCs w:val="18"/>
        </w:rPr>
      </w:pPr>
      <w:r>
        <w:rPr>
          <w:rFonts w:hint="eastAsia" w:ascii="宋体" w:cs="宋体"/>
          <w:b/>
          <w:bCs/>
          <w:sz w:val="18"/>
          <w:szCs w:val="18"/>
        </w:rPr>
        <w:t>■</w:t>
      </w:r>
      <w:r>
        <w:rPr>
          <w:rFonts w:hint="eastAsia" w:ascii="Arial" w:hAnsi="宋体" w:cs="宋体"/>
          <w:b/>
          <w:bCs/>
          <w:sz w:val="18"/>
          <w:szCs w:val="18"/>
        </w:rPr>
        <w:t>已执行</w:t>
      </w:r>
      <w:r>
        <w:rPr>
          <w:rFonts w:ascii="Arial" w:hAnsi="Arial" w:cs="Arial"/>
          <w:b/>
          <w:bCs/>
          <w:sz w:val="18"/>
          <w:szCs w:val="18"/>
        </w:rPr>
        <w:t xml:space="preserve">Carried out             </w:t>
      </w:r>
      <w:r>
        <w:rPr>
          <w:rFonts w:hint="eastAsia" w:ascii="宋体" w:cs="宋体"/>
          <w:b/>
          <w:bCs/>
          <w:sz w:val="18"/>
          <w:szCs w:val="18"/>
        </w:rPr>
        <w:t>□</w:t>
      </w:r>
      <w:r>
        <w:rPr>
          <w:rFonts w:hint="eastAsia" w:ascii="Arial" w:hAnsi="宋体" w:cs="宋体"/>
          <w:b/>
          <w:bCs/>
          <w:sz w:val="18"/>
          <w:szCs w:val="18"/>
        </w:rPr>
        <w:t>未执行或不适用</w:t>
      </w:r>
      <w:r>
        <w:rPr>
          <w:rFonts w:ascii="Arial" w:hAnsi="Arial" w:cs="Arial"/>
          <w:b/>
          <w:bCs/>
          <w:sz w:val="18"/>
          <w:szCs w:val="18"/>
        </w:rPr>
        <w:t>Not carried out or not appliance</w:t>
      </w:r>
      <w:r>
        <w:rPr>
          <w:rFonts w:hint="eastAsia" w:ascii="Arial" w:hAnsi="Arial" w:cs="Arial"/>
          <w:b/>
          <w:bCs/>
          <w:sz w:val="18"/>
          <w:szCs w:val="18"/>
        </w:rPr>
        <w:t>`</w:t>
      </w:r>
    </w:p>
    <w:p>
      <w:pPr>
        <w:widowControl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 w:type="page"/>
      </w:r>
    </w:p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widowControl/>
        <w:jc w:val="left"/>
        <w:rPr>
          <w:rFonts w:ascii="Arial" w:hAnsi="Arial" w:cs="Arial"/>
          <w:sz w:val="18"/>
          <w:szCs w:val="18"/>
        </w:rPr>
      </w:pPr>
    </w:p>
    <w:p>
      <w:pPr>
        <w:rPr>
          <w:rFonts w:ascii="Arial" w:hAnsi="Arial" w:cs="Arial"/>
          <w:b/>
          <w:sz w:val="18"/>
          <w:szCs w:val="18"/>
        </w:rPr>
        <w:sectPr>
          <w:type w:val="continuous"/>
          <w:pgSz w:w="11906" w:h="16838"/>
          <w:pgMar w:top="2130" w:right="1134" w:bottom="1418" w:left="1418" w:header="680" w:footer="737" w:gutter="0"/>
          <w:cols w:space="425" w:num="1"/>
          <w:docGrid w:type="lines" w:linePitch="312" w:charSpace="0"/>
        </w:sectPr>
      </w:pPr>
    </w:p>
    <w:p>
      <w:pPr>
        <w:rPr>
          <w:rFonts w:ascii="Arial" w:hAnsi="Arial" w:cs="Arial"/>
          <w:b/>
          <w:bCs/>
          <w:sz w:val="18"/>
          <w:szCs w:val="18"/>
        </w:rPr>
      </w:pPr>
      <w:r>
        <w:rPr>
          <w:rFonts w:hint="eastAsia" w:ascii="Arial" w:hAnsi="Arial" w:cs="Arial"/>
          <w:b/>
          <w:sz w:val="18"/>
          <w:szCs w:val="18"/>
        </w:rPr>
        <w:t>干粉灭火系统</w:t>
      </w:r>
      <w:r>
        <w:rPr>
          <w:rFonts w:ascii="Arial" w:hAnsi="Arial" w:cs="Arial"/>
          <w:b/>
          <w:bCs/>
          <w:sz w:val="18"/>
          <w:szCs w:val="18"/>
        </w:rPr>
        <w:t>Powder Extinguishing Systems</w:t>
      </w:r>
    </w:p>
    <w:p>
      <w:pPr>
        <w:rPr>
          <w:rFonts w:ascii="Arial" w:hAnsi="Arial" w:cs="Arial"/>
          <w:b/>
          <w:bCs/>
          <w:sz w:val="18"/>
          <w:szCs w:val="18"/>
        </w:rPr>
        <w:sectPr>
          <w:pgSz w:w="11906" w:h="16838"/>
          <w:pgMar w:top="2130" w:right="1134" w:bottom="1418" w:left="1418" w:header="680" w:footer="737" w:gutter="0"/>
          <w:cols w:equalWidth="0" w:num="2">
            <w:col w:w="7350" w:space="210"/>
            <w:col w:w="1794"/>
          </w:cols>
          <w:docGrid w:type="lines" w:linePitch="312" w:charSpace="0"/>
        </w:sectPr>
      </w:pPr>
      <w:r>
        <w:rPr>
          <w:rFonts w:hint="eastAsia" w:ascii="Arial" w:hAnsi="Arial" w:cs="宋体"/>
          <w:b/>
          <w:bCs/>
          <w:sz w:val="18"/>
          <w:szCs w:val="18"/>
        </w:rPr>
        <w:t>表格 Form B0</w:t>
      </w:r>
      <w:r>
        <w:rPr>
          <w:rFonts w:hint="eastAsia" w:ascii="Arial" w:hAnsi="Arial" w:cs="Arial"/>
          <w:b/>
          <w:bCs/>
          <w:sz w:val="18"/>
          <w:szCs w:val="18"/>
        </w:rPr>
        <w:t>5</w:t>
      </w:r>
    </w:p>
    <w:tbl>
      <w:tblPr>
        <w:tblStyle w:val="2"/>
        <w:tblW w:w="5000" w:type="pct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1"/>
        <w:gridCol w:w="1923"/>
        <w:gridCol w:w="2190"/>
        <w:gridCol w:w="210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350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介质类型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Type of Agents</w:t>
            </w:r>
          </w:p>
        </w:tc>
        <w:tc>
          <w:tcPr>
            <w:tcW w:w="1128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干粉罐</w:t>
            </w:r>
          </w:p>
        </w:tc>
        <w:tc>
          <w:tcPr>
            <w:tcW w:w="1285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检验温度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Temperature</w:t>
            </w:r>
          </w:p>
        </w:tc>
        <w:tc>
          <w:tcPr>
            <w:tcW w:w="1236" w:type="pct"/>
            <w:tcBorders>
              <w:top w:val="single" w:color="auto" w:sz="8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  <w:highlight w:val="red"/>
              </w:rPr>
              <w:t>5℃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5000" w:type="pct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工作代号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Description of Working Codes(Performed/Recommended):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7" w:hRule="atLeast"/>
          <w:jc w:val="center"/>
        </w:trPr>
        <w:tc>
          <w:tcPr>
            <w:tcW w:w="2478" w:type="pct"/>
            <w:gridSpan w:val="2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1=</w:t>
            </w: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外观检查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Inspected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压力调节器有效性检查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5=干粉搅拌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7=管线吹扫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9=干粉容器、安全阀和排放软管的压力试验</w:t>
            </w:r>
          </w:p>
          <w:p>
            <w:pPr>
              <w:ind w:firstLine="90" w:firstLineChars="5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宋体"/>
                <w:b/>
                <w:bCs/>
                <w:sz w:val="18"/>
                <w:szCs w:val="18"/>
              </w:rPr>
              <w:t>11=检验日期标签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Inspection Date Label Attached</w:t>
            </w:r>
          </w:p>
        </w:tc>
        <w:tc>
          <w:tcPr>
            <w:tcW w:w="2521" w:type="pct"/>
            <w:gridSpan w:val="2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阀门检查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4=控制阀和分区阀的本地和遥控操作试验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6=推进气体钢瓶检查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8=干粉含水量检查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10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=</w:t>
            </w:r>
            <w:r>
              <w:rPr>
                <w:rFonts w:hint="eastAsia" w:ascii="Arial" w:hAnsi="Arial" w:cs="Arial"/>
                <w:b/>
                <w:bCs/>
                <w:sz w:val="18"/>
                <w:szCs w:val="18"/>
              </w:rPr>
              <w:t>干粉容器的水压试验或无损检测</w:t>
            </w:r>
          </w:p>
          <w:p>
            <w:pPr>
              <w:jc w:val="lef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tbl>
      <w:tblPr>
        <w:tblStyle w:val="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899"/>
        <w:gridCol w:w="900"/>
        <w:gridCol w:w="900"/>
        <w:gridCol w:w="900"/>
        <w:gridCol w:w="900"/>
        <w:gridCol w:w="900"/>
        <w:gridCol w:w="90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检验标签</w:t>
            </w:r>
            <w:r>
              <w:rPr>
                <w:b/>
                <w:bCs/>
                <w:kern w:val="0"/>
                <w:sz w:val="18"/>
                <w:szCs w:val="21"/>
              </w:rPr>
              <w:t>.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型号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编号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容积/L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灌装日期</w:t>
            </w:r>
          </w:p>
        </w:tc>
        <w:tc>
          <w:tcPr>
            <w:tcW w:w="1063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生产日期</w:t>
            </w:r>
          </w:p>
        </w:tc>
        <w:tc>
          <w:tcPr>
            <w:tcW w:w="106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生产厂家</w:t>
            </w:r>
          </w:p>
        </w:tc>
        <w:tc>
          <w:tcPr>
            <w:tcW w:w="106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工作代号</w:t>
            </w:r>
          </w:p>
        </w:tc>
        <w:tc>
          <w:tcPr>
            <w:tcW w:w="1064" w:type="dxa"/>
            <w:vAlign w:val="center"/>
          </w:tcPr>
          <w:p>
            <w:pPr>
              <w:pStyle w:val="5"/>
              <w:jc w:val="center"/>
              <w:rPr>
                <w:b/>
                <w:bCs/>
                <w:kern w:val="0"/>
                <w:sz w:val="18"/>
                <w:szCs w:val="21"/>
              </w:rPr>
            </w:pPr>
            <w:r>
              <w:rPr>
                <w:rFonts w:hint="eastAsia"/>
                <w:b/>
                <w:bCs/>
                <w:kern w:val="0"/>
                <w:sz w:val="18"/>
                <w:szCs w:val="21"/>
              </w:rPr>
              <w:t>检测判定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3" w:type="dxa"/>
          </w:tcPr>
          <w:p>
            <w:pPr>
              <w:pStyle w:val="5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{{#</w:t>
            </w:r>
            <w:r>
              <w:rPr>
                <w:kern w:val="0"/>
                <w:sz w:val="20"/>
              </w:rPr>
              <w:t>gfRows</w:t>
            </w:r>
            <w:r>
              <w:rPr>
                <w:rFonts w:hint="eastAsia"/>
                <w:kern w:val="0"/>
                <w:sz w:val="20"/>
              </w:rPr>
              <w:t>}}</w:t>
            </w: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3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  <w:tc>
          <w:tcPr>
            <w:tcW w:w="1064" w:type="dxa"/>
          </w:tcPr>
          <w:p>
            <w:pPr>
              <w:jc w:val="center"/>
              <w:rPr>
                <w:rFonts w:ascii="Hei" w:hAnsi="Hei" w:eastAsia="Hei" w:cs="Hei"/>
                <w:b/>
                <w:bCs/>
                <w:color w:val="000000"/>
                <w:kern w:val="0"/>
                <w:sz w:val="16"/>
                <w:szCs w:val="22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Hei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5A8"/>
    <w:rsid w:val="0056700C"/>
    <w:rsid w:val="006575A8"/>
    <w:rsid w:val="0C1E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996</Characters>
  <Lines>8</Lines>
  <Paragraphs>2</Paragraphs>
  <TotalTime>1</TotalTime>
  <ScaleCrop>false</ScaleCrop>
  <LinksUpToDate>false</LinksUpToDate>
  <CharactersWithSpaces>1168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2020-05-21T14:32:00Z</dcterms:created>
  <dc:creator>zyg</dc:creator>
  <cp:lastModifiedBy>今儿个努力</cp:lastModifiedBy>
  <dcterms:modified xsi:type="dcterms:W3CDTF">2020-05-27T02:33:19Z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