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火焰探头</w:t>
      </w:r>
      <w:r>
        <w:rPr>
          <w:rFonts w:ascii="Arial" w:hAnsi="Arial" w:cs="Arial"/>
          <w:b/>
          <w:sz w:val="18"/>
          <w:szCs w:val="18"/>
        </w:rPr>
        <w:t>Flame detector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E-F-1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997"/>
        <w:gridCol w:w="1117"/>
        <w:gridCol w:w="2037"/>
        <w:gridCol w:w="1097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本次测试所依据的技术文件（代号、名称）：Reference Documents For The Test(Code/Name)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GB 12791-2006 《点型紫外火焰探测器》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35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32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35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65" w:type="pct"/>
            <w:gridSpan w:val="4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35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55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0）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65" w:type="pct"/>
            <w:gridSpan w:val="4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2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3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83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奥博斯火灾探测试验器</w:t>
            </w:r>
          </w:p>
        </w:tc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ABS-Q01</w:t>
            </w:r>
          </w:p>
        </w:tc>
        <w:tc>
          <w:tcPr>
            <w:tcW w:w="78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/</w:t>
            </w:r>
          </w:p>
        </w:tc>
        <w:tc>
          <w:tcPr>
            <w:tcW w:w="1222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773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983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响应时间≤30s；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火焰探测器</w:t>
      </w:r>
      <w:r>
        <w:rPr>
          <w:rFonts w:ascii="Arial" w:hAnsi="Arial" w:cs="Arial"/>
          <w:b/>
          <w:sz w:val="18"/>
          <w:szCs w:val="18"/>
        </w:rPr>
        <w:t>Flame detector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E-F-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364"/>
        <w:gridCol w:w="1036"/>
        <w:gridCol w:w="2275"/>
        <w:gridCol w:w="1467"/>
        <w:gridCol w:w="790"/>
        <w:gridCol w:w="791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FlameDeRow</w:t>
            </w:r>
            <w:r>
              <w:rPr>
                <w:rFonts w:hint="eastAsia"/>
                <w:kern w:val="0"/>
                <w:sz w:val="20"/>
              </w:rPr>
              <w:t>s}}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342FA"/>
    <w:multiLevelType w:val="multilevel"/>
    <w:tmpl w:val="4D0342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CF"/>
    <w:rsid w:val="0056700C"/>
    <w:rsid w:val="00736FCF"/>
    <w:rsid w:val="4DC0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0</TotalTime>
  <ScaleCrop>false</ScaleCrop>
  <LinksUpToDate>false</LinksUpToDate>
  <CharactersWithSpaces>583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2020-05-27T03:24:36Z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