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硫化氢探测器H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</w:t>
      </w:r>
      <w:r>
        <w:rPr>
          <w:rFonts w:ascii="Arial" w:hAnsi="Arial" w:cs="Arial"/>
          <w:b/>
          <w:sz w:val="18"/>
          <w:szCs w:val="18"/>
        </w:rPr>
        <w:t xml:space="preserve"> detectors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bookmarkStart w:id="0" w:name="_GoBack"/>
      <w:bookmarkEnd w:id="0"/>
      <w:r>
        <w:rPr>
          <w:rFonts w:hint="eastAsia" w:ascii="Arial" w:hAnsi="Arial" w:cs="Arial"/>
          <w:b/>
          <w:sz w:val="18"/>
          <w:szCs w:val="18"/>
        </w:rPr>
        <w:t>表格 Form E-H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017"/>
        <w:gridCol w:w="1117"/>
        <w:gridCol w:w="1277"/>
        <w:gridCol w:w="760"/>
        <w:gridCol w:w="1098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JJG 695-2003硫化氢气体检测仪检定规程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（15～22）</w:t>
            </w:r>
            <w:r>
              <w:rPr>
                <w:rFonts w:hint="eastAsia" w:ascii="宋体" w:hAnsi="宋体" w:cs="宋体"/>
                <w:b/>
                <w:sz w:val="18"/>
                <w:szCs w:val="18"/>
                <w:highlight w:val="red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（60～70）%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硫化氢标准气体(50ppm)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硫化氢标准气体(20ppm)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电子秒表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13210068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13209109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1342282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U=(0.011～0.024)s，k=2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797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通电后仪器正常工作；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分别通入不同浓度标准气或一起显示误差应小于等于±3%</w:t>
            </w:r>
          </w:p>
        </w:tc>
        <w:tc>
          <w:tcPr>
            <w:tcW w:w="2203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59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响应时间≤30s;</w:t>
            </w:r>
          </w:p>
          <w:p>
            <w:pPr>
              <w:pStyle w:val="5"/>
              <w:numPr>
                <w:ilvl w:val="0"/>
                <w:numId w:val="1"/>
              </w:numPr>
              <w:ind w:left="459" w:hanging="459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</w:rPr>
              <w:t>测试结果见下页：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硫化氢探测器H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</w:t>
      </w:r>
      <w:r>
        <w:rPr>
          <w:rFonts w:ascii="Arial" w:hAnsi="Arial" w:cs="Arial"/>
          <w:b/>
          <w:sz w:val="18"/>
          <w:szCs w:val="18"/>
        </w:rPr>
        <w:t xml:space="preserve"> detectors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E-H</w:t>
      </w:r>
      <w:r>
        <w:rPr>
          <w:rFonts w:hint="eastAsia" w:ascii="Arial" w:hAnsi="Arial" w:cs="Arial"/>
          <w:b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sz w:val="18"/>
          <w:szCs w:val="18"/>
        </w:rPr>
        <w:t>S-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257"/>
        <w:gridCol w:w="625"/>
        <w:gridCol w:w="625"/>
        <w:gridCol w:w="625"/>
        <w:gridCol w:w="625"/>
        <w:gridCol w:w="699"/>
        <w:gridCol w:w="699"/>
        <w:gridCol w:w="776"/>
        <w:gridCol w:w="776"/>
        <w:gridCol w:w="627"/>
        <w:gridCol w:w="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225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名称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69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实测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高报</w:t>
            </w: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ppm</w:t>
            </w:r>
          </w:p>
        </w:tc>
        <w:tc>
          <w:tcPr>
            <w:tcW w:w="69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实测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高高报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ppm</w:t>
            </w:r>
          </w:p>
        </w:tc>
        <w:tc>
          <w:tcPr>
            <w:tcW w:w="77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示值2</w:t>
            </w: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0ppm</w:t>
            </w:r>
          </w:p>
        </w:tc>
        <w:tc>
          <w:tcPr>
            <w:tcW w:w="77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示值50</w:t>
            </w: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ppm</w:t>
            </w:r>
          </w:p>
        </w:tc>
        <w:tc>
          <w:tcPr>
            <w:tcW w:w="6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6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vAlign w:val="center"/>
          </w:tcPr>
          <w:p>
            <w:pPr>
              <w:pStyle w:val="7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hydrogensulRows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2257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jc w:val="left"/>
              <w:rPr>
                <w:b/>
                <w:bCs/>
                <w:kern w:val="0"/>
                <w:sz w:val="18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53F"/>
    <w:multiLevelType w:val="multilevel"/>
    <w:tmpl w:val="142A353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3C"/>
    <w:rsid w:val="0056700C"/>
    <w:rsid w:val="008C753C"/>
    <w:rsid w:val="38666B93"/>
    <w:rsid w:val="59D5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