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06" w:rsidRDefault="00081D06" w:rsidP="00081D06">
      <w:pPr>
        <w:rPr>
          <w:rFonts w:ascii="Arial" w:hAnsi="Arial" w:cs="Arial"/>
          <w:b/>
          <w:color w:val="000000" w:themeColor="text1"/>
          <w:sz w:val="18"/>
          <w:szCs w:val="18"/>
        </w:rPr>
        <w:sectPr w:rsidR="00081D06"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081D06" w:rsidRDefault="00081D06" w:rsidP="00081D06">
      <w:pPr>
        <w:rPr>
          <w:rFonts w:ascii="Arial" w:hAnsi="Arial" w:cs="Arial"/>
          <w:b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>泡沫</w:t>
      </w:r>
      <w:r>
        <w:rPr>
          <w:rFonts w:ascii="Arial" w:hAnsi="宋体" w:cs="Arial" w:hint="eastAsia"/>
          <w:b/>
          <w:color w:val="000000" w:themeColor="text1"/>
          <w:sz w:val="18"/>
          <w:szCs w:val="18"/>
        </w:rPr>
        <w:t>灭火系统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FOAM Fire Extinguishing System</w:t>
      </w:r>
    </w:p>
    <w:p w:rsidR="00081D06" w:rsidRDefault="00081D06" w:rsidP="00081D06">
      <w:pPr>
        <w:rPr>
          <w:rFonts w:ascii="Arial" w:hAnsi="Arial" w:cs="Arial"/>
          <w:b/>
          <w:sz w:val="18"/>
          <w:szCs w:val="18"/>
        </w:rPr>
        <w:sectPr w:rsidR="00081D06">
          <w:type w:val="continuous"/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/>
          <w:b/>
          <w:sz w:val="18"/>
          <w:szCs w:val="18"/>
        </w:rPr>
        <w:t>表格</w:t>
      </w:r>
      <w:r>
        <w:rPr>
          <w:rFonts w:ascii="Arial" w:hAnsi="Arial" w:cs="Arial"/>
          <w:b/>
          <w:sz w:val="18"/>
          <w:szCs w:val="18"/>
        </w:rPr>
        <w:t xml:space="preserve"> Form B0</w:t>
      </w:r>
      <w:r>
        <w:rPr>
          <w:rFonts w:ascii="Arial" w:hAnsi="Arial" w:cs="Arial" w:hint="eastAsia"/>
          <w:b/>
          <w:sz w:val="18"/>
          <w:szCs w:val="18"/>
        </w:rPr>
        <w:t>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0"/>
        <w:gridCol w:w="3795"/>
        <w:gridCol w:w="1809"/>
      </w:tblGrid>
      <w:tr w:rsidR="00081D06" w:rsidTr="00843D02">
        <w:trPr>
          <w:trHeight w:val="297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81D06" w:rsidRDefault="00081D06" w:rsidP="00843D02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Arial" w:hAnsi="宋体" w:cs="Arial" w:hint="eastAsia"/>
                <w:b/>
                <w:color w:val="000000" w:themeColor="text1"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Arial" w:hAnsi="宋体" w:cs="Arial" w:hint="eastAsia"/>
                <w:b/>
                <w:color w:val="000000" w:themeColor="text1"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Description of System / Technical Information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</w:rPr>
              <w:t>：</w:t>
            </w:r>
          </w:p>
        </w:tc>
      </w:tr>
      <w:tr w:rsidR="00081D06" w:rsidTr="00843D02">
        <w:trPr>
          <w:trHeight w:val="34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81D06" w:rsidRDefault="00081D06" w:rsidP="00843D02"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泡沫液型号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Foam Fluid Model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  <w:u w:val="single"/>
              </w:rPr>
              <w:t>3% AFFF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                                                      </w:t>
            </w:r>
          </w:p>
          <w:p w:rsidR="00081D06" w:rsidRDefault="00081D06" w:rsidP="00843D02"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泡沫罐数量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Quantity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×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容积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Capacity of Cylinders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  <w:u w:val="single"/>
              </w:rPr>
              <w:t>1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  <w:highlight w:val="red"/>
                <w:u w:val="single"/>
              </w:rPr>
              <w:t>×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  <w:u w:val="single"/>
              </w:rPr>
              <w:t>1M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  <w:u w:val="single"/>
                <w:vertAlign w:val="superscript"/>
              </w:rPr>
              <w:t>3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  <w:u w:val="single"/>
              </w:rPr>
              <w:t>、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  <w:u w:val="single"/>
              </w:rPr>
              <w:t>1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  <w:highlight w:val="red"/>
                <w:u w:val="single"/>
              </w:rPr>
              <w:t>×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  <w:u w:val="single"/>
              </w:rPr>
              <w:t>8.0M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  <w:u w:val="single"/>
                <w:vertAlign w:val="superscript"/>
              </w:rPr>
              <w:t>3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  <w:u w:val="single"/>
              </w:rPr>
              <w:t>、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  <w:u w:val="single"/>
              </w:rPr>
              <w:t>2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  <w:highlight w:val="red"/>
                <w:u w:val="single"/>
              </w:rPr>
              <w:t>×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  <w:u w:val="single"/>
              </w:rPr>
              <w:t>8.5M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  <w:u w:val="single"/>
                <w:vertAlign w:val="superscript"/>
              </w:rPr>
              <w:t>3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           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                  </w:t>
            </w:r>
          </w:p>
          <w:p w:rsidR="00081D06" w:rsidRDefault="00081D06" w:rsidP="00843D02"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消防泵数量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Quantity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 Fire Pump×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功率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power rating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highlight w:val="red"/>
                <w:u w:val="single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    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      </w:t>
            </w:r>
          </w:p>
          <w:p w:rsidR="00081D06" w:rsidRDefault="00081D06" w:rsidP="00843D02"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泡沫炮数量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Quantity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 Foam Monitor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highlight w:val="red"/>
                <w:u w:val="single"/>
              </w:rPr>
              <w:t>11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red"/>
                <w:u w:val="single"/>
              </w:rPr>
              <w:t>门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red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           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                     </w:t>
            </w:r>
          </w:p>
          <w:p w:rsidR="00081D06" w:rsidRDefault="00081D06" w:rsidP="00843D02"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泡沫枪数量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Quantity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</w:rPr>
              <w:t xml:space="preserve"> o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 Foam Nozzle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highlight w:val="red"/>
                <w:u w:val="single"/>
              </w:rPr>
              <w:t>74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red"/>
                <w:u w:val="single"/>
              </w:rPr>
              <w:t>把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         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     </w:t>
            </w:r>
          </w:p>
          <w:p w:rsidR="00081D06" w:rsidRDefault="00081D06" w:rsidP="00843D02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覆盖保护区域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Covering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>各个撬块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>、单点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                          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                              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</w:t>
            </w:r>
          </w:p>
        </w:tc>
      </w:tr>
      <w:tr w:rsidR="00081D06" w:rsidTr="00843D02">
        <w:trPr>
          <w:trHeight w:val="340"/>
        </w:trPr>
        <w:tc>
          <w:tcPr>
            <w:tcW w:w="1998" w:type="pct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:rsidR="00081D06" w:rsidRDefault="00081D06" w:rsidP="00843D02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检验和试验</w:t>
            </w:r>
          </w:p>
          <w:p w:rsidR="00081D06" w:rsidRDefault="00081D06" w:rsidP="00843D02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Description of Inspection/Tests</w:t>
            </w:r>
          </w:p>
        </w:tc>
        <w:tc>
          <w:tcPr>
            <w:tcW w:w="2033" w:type="pct"/>
            <w:tcBorders>
              <w:top w:val="single" w:sz="8" w:space="0" w:color="auto"/>
              <w:left w:val="nil"/>
            </w:tcBorders>
            <w:vAlign w:val="center"/>
          </w:tcPr>
          <w:p w:rsidR="00081D06" w:rsidRDefault="00081D06" w:rsidP="00843D02"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/>
                <w:b/>
                <w:color w:val="000000" w:themeColor="text1"/>
                <w:sz w:val="18"/>
                <w:szCs w:val="20"/>
              </w:rPr>
              <w:t>□全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部检验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Complete Inspection</w:t>
            </w:r>
          </w:p>
          <w:p w:rsidR="00081D06" w:rsidRDefault="00081D06" w:rsidP="00843D02"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/>
                <w:b/>
                <w:color w:val="000000" w:themeColor="text1"/>
                <w:sz w:val="18"/>
                <w:szCs w:val="20"/>
              </w:rPr>
              <w:t>■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Partial Inspection</w:t>
            </w:r>
          </w:p>
        </w:tc>
        <w:tc>
          <w:tcPr>
            <w:tcW w:w="969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81D06" w:rsidRDefault="00081D06" w:rsidP="00843D02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备注</w:t>
            </w:r>
          </w:p>
          <w:p w:rsidR="00081D06" w:rsidRDefault="00081D06" w:rsidP="00843D02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</w:tr>
      <w:tr w:rsidR="00081D06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1.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系统外观检查</w:t>
            </w:r>
          </w:p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Visual inspection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81D06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2.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泡沫炮回转机构、俯仰机构动作试验</w:t>
            </w:r>
          </w:p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Foam monitor slewing &amp; luffing mechanism action test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81D06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sym w:font="Wingdings 2" w:char="00A3"/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3.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泡沫枪检查</w:t>
            </w:r>
          </w:p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Foam nozzle inspection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81D06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4.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管线阀门动作试验</w:t>
            </w:r>
          </w:p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Pipeline valve operation test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81D06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5.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喷射试验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</w:p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Water spray test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81D06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/>
                <w:b/>
                <w:color w:val="000000" w:themeColor="text1"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6.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管道冲洗</w:t>
            </w:r>
          </w:p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Pipe flushing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81D06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/>
                <w:b/>
                <w:color w:val="000000" w:themeColor="text1"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7.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泡沫液检验</w:t>
            </w:r>
          </w:p>
          <w:p w:rsidR="00081D06" w:rsidRDefault="00081D06" w:rsidP="00843D02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Foam inspection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81D06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rPr>
                <w:rFonts w:ascii="宋体" w:hAnsi="宋体" w:cs="Arial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宋体" w:hAnsi="宋体" w:cs="Arial"/>
                <w:b/>
                <w:color w:val="000000" w:themeColor="text1"/>
                <w:sz w:val="18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20"/>
              </w:rPr>
              <w:t>泡沫比例调节器检测</w:t>
            </w:r>
          </w:p>
          <w:p w:rsidR="00081D06" w:rsidRDefault="00081D06" w:rsidP="00843D02">
            <w:pPr>
              <w:spacing w:line="240" w:lineRule="exact"/>
              <w:rPr>
                <w:rFonts w:ascii="宋体" w:hAnsi="宋体" w:cs="Arial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Foam proportional regulator test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81D06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rPr>
                <w:rFonts w:ascii="宋体" w:hAnsi="宋体" w:cs="Arial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宋体" w:hAnsi="宋体" w:cs="Arial"/>
                <w:b/>
                <w:color w:val="000000" w:themeColor="text1"/>
                <w:sz w:val="18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20"/>
              </w:rPr>
              <w:t>报警测试</w:t>
            </w:r>
          </w:p>
          <w:p w:rsidR="00081D06" w:rsidRDefault="00081D06" w:rsidP="00843D02">
            <w:pPr>
              <w:spacing w:line="240" w:lineRule="exact"/>
              <w:rPr>
                <w:rFonts w:ascii="宋体" w:hAnsi="宋体" w:cs="Arial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Alarm test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081D06" w:rsidRDefault="00081D06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081D06" w:rsidRDefault="00081D06" w:rsidP="00081D06">
      <w:pPr>
        <w:rPr>
          <w:rFonts w:ascii="Arial" w:hAnsi="Arial" w:cs="Arial"/>
          <w:b/>
          <w:sz w:val="18"/>
          <w:szCs w:val="18"/>
        </w:rPr>
      </w:pPr>
      <w:r>
        <w:rPr>
          <w:rFonts w:ascii="宋体" w:hAnsi="宋体" w:cs="Arial"/>
          <w:b/>
          <w:sz w:val="18"/>
          <w:szCs w:val="20"/>
        </w:rPr>
        <w:t>■</w:t>
      </w:r>
      <w:r>
        <w:rPr>
          <w:rFonts w:ascii="Arial" w:hAnsi="Arial" w:cs="Arial"/>
          <w:b/>
          <w:sz w:val="18"/>
          <w:szCs w:val="18"/>
        </w:rPr>
        <w:t>已执行</w:t>
      </w:r>
      <w:r>
        <w:rPr>
          <w:rFonts w:ascii="Arial" w:hAnsi="Arial" w:cs="Arial"/>
          <w:b/>
          <w:sz w:val="18"/>
          <w:szCs w:val="18"/>
        </w:rPr>
        <w:t xml:space="preserve">Carried out            </w:t>
      </w:r>
      <w:r>
        <w:rPr>
          <w:rFonts w:ascii="宋体" w:hAnsi="宋体" w:cs="Arial"/>
          <w:b/>
          <w:sz w:val="18"/>
          <w:szCs w:val="20"/>
        </w:rPr>
        <w:t xml:space="preserve"> □</w:t>
      </w:r>
      <w:r>
        <w:rPr>
          <w:rFonts w:ascii="Arial" w:hAnsi="Arial" w:cs="Arial"/>
          <w:b/>
          <w:sz w:val="18"/>
          <w:szCs w:val="18"/>
        </w:rPr>
        <w:t>未执行或不适用</w:t>
      </w:r>
      <w:r>
        <w:rPr>
          <w:rFonts w:ascii="Arial" w:hAnsi="Arial" w:cs="Arial"/>
          <w:b/>
          <w:sz w:val="18"/>
          <w:szCs w:val="18"/>
        </w:rPr>
        <w:t>Not carried out or not appliance</w:t>
      </w:r>
    </w:p>
    <w:p w:rsidR="00081D06" w:rsidRDefault="00081D06" w:rsidP="00081D06">
      <w:pPr>
        <w:rPr>
          <w:rFonts w:ascii="Arial" w:hAnsi="Arial" w:cs="Arial"/>
          <w:b/>
          <w:sz w:val="18"/>
          <w:szCs w:val="18"/>
        </w:rPr>
      </w:pPr>
    </w:p>
    <w:p w:rsidR="00081D06" w:rsidRDefault="00081D06" w:rsidP="00081D06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06"/>
    <w:rsid w:val="00081D06"/>
    <w:rsid w:val="005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87876-51AB-4713-BFB3-1B4132FB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