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为了减小远近效应可以采用以下四种措施：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定义场强减小到最大值的一般处的偏离角度为天线的（）。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基本的模拟调制有（）、（）、（）；基本都会数字调制有（）、（）、（）。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WIFI的3点突出优势：</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LTE的两个基本特点：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X2接口、S1接口和LTE-Un接口的定义：</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空中接口的协议结构分为两面三层，垂直方向分为（）和（），水平方向分为（）、（）、（），其中第二层右分为四个子层（）、（）、（）、（）。</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LTE公布了2种类型的无线帧结构：类型1，也称为通用帧结构，应用在（）模式下；类型2，也称为可选震结构，应用在（）模式下。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随机接入过程分为（）和（）2个过程，区别在于针对2种流程其选择随机接入前导的方式不同。</w:t>
      </w:r>
    </w:p>
    <w:p>
      <w:pPr>
        <w:rPr>
          <w:rFonts w:hint="default"/>
          <w:lang w:val="en-US" w:eastAsia="zh-CN"/>
        </w:rPr>
      </w:pPr>
      <w:r>
        <w:rPr>
          <w:rFonts w:hint="eastAsia"/>
          <w:lang w:val="en-US" w:eastAsia="zh-CN"/>
        </w:rPr>
        <w:t>寻呼过程可以由（）触发，也可以（）触发</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NANO内部包括（）、（）、（）三个实体。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系统外部干扰包括（）和（）。</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rPr>
          <w:rFonts w:hint="default"/>
          <w:lang w:val="en-US" w:eastAsia="zh-CN"/>
        </w:rPr>
      </w:pPr>
      <w:bookmarkStart w:id="0" w:name="_GoBack"/>
      <w:bookmarkEnd w:id="0"/>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2"/>
        <w:bidi w:val="0"/>
        <w:ind w:left="432" w:leftChars="0" w:hanging="432" w:firstLineChars="0"/>
        <w:rPr>
          <w:rFonts w:hint="eastAsia"/>
          <w:lang w:val="en-US" w:eastAsia="zh-CN"/>
        </w:rPr>
      </w:pPr>
      <w:r>
        <w:rPr>
          <w:rFonts w:hint="eastAsia"/>
          <w:lang w:val="en-US" w:eastAsia="zh-CN"/>
        </w:rPr>
        <w:t>LTE无线网络优化</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50608"/>
    <w:rsid w:val="1C062472"/>
    <w:rsid w:val="2363682C"/>
    <w:rsid w:val="30B34D07"/>
    <w:rsid w:val="3A0D4008"/>
    <w:rsid w:val="554D2AE5"/>
    <w:rsid w:val="58B427C7"/>
    <w:rsid w:val="6CAF7834"/>
    <w:rsid w:val="6F787079"/>
    <w:rsid w:val="76B2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2020-09-29T14:51:03Z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