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LTE：Long Term Evolution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EPC：Evolved Packet Core Network 演进的分组核心网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UMTS：Universal Mobile Telecommunications System 通用移动通信系统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UTRAN：UMTS Terrestrial Radio Access Network 通用陆地无线接入网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MME：Mobility Management Entity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S-GW</w:t>
      </w:r>
      <w:r>
        <w:rPr>
          <w:rFonts w:hint="eastAsia"/>
          <w:lang w:val="en-US" w:eastAsia="zh-CN"/>
        </w:rPr>
        <w:t>：Serving GateWay 服务网关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52719DE"/>
    <w:rsid w:val="7812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luoqingz</dc:creator>
  <cp:lastModifiedBy>Administrator</cp:lastModifiedBy>
  <dcterms:modified xsi:type="dcterms:W3CDTF">2020-09-29T14:51:00Z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