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r>
        <w:rPr>
          <w:rFonts w:hint="eastAsia"/>
          <w:lang w:val="en-US" w:eastAsia="zh-CN"/>
        </w:rPr>
        <w:t>（1）对上层PDU的数据传输支持确认模式、非确认模式和透明模式（2）通过ARQ机制进行错误修正（3）根据传输块大小对本层数据进行动态分段和重组（4）实现同一无线承载的多个业务数据单元的串接（5）顺序传送上层的PDU（6）数据的重复检测和底层协议错误的检测与恢复（7）eNodeB和UE间的流量控制等</w:t>
      </w:r>
    </w:p>
    <w:p>
      <w:pPr>
        <w:rPr>
          <w:rFonts w:hint="default"/>
          <w:lang w:val="en-US" w:eastAsia="zh-CN"/>
        </w:rPr>
      </w:pPr>
      <w:r>
        <w:rPr>
          <w:rFonts w:hint="eastAsia"/>
          <w:lang w:val="en-US" w:eastAsia="zh-CN"/>
        </w:rPr>
        <w:t>（1）协议头压缩与解压缩（2）NAS层与RLC层间用户面数据传输（3）用户面数据和控制面数据加密（4）控制面NAS层信令信息的完整性保护</w:t>
      </w:r>
      <w:bookmarkStart w:id="0" w:name="_GoBack"/>
      <w:bookmarkEnd w:id="0"/>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格式控制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氧气分子和水蒸气分子对电磁波的吸收、雨雾雪等气象粒子对电磁波的吸收和散射、对流层结构的不均匀性对电磁波的折射、10GHz、10GHz</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F62CD"/>
    <w:rsid w:val="083237CD"/>
    <w:rsid w:val="0E8A40AE"/>
    <w:rsid w:val="11266FF6"/>
    <w:rsid w:val="146B30E6"/>
    <w:rsid w:val="151A7139"/>
    <w:rsid w:val="15250608"/>
    <w:rsid w:val="1C062472"/>
    <w:rsid w:val="1F1E1830"/>
    <w:rsid w:val="207F3D35"/>
    <w:rsid w:val="2363682C"/>
    <w:rsid w:val="24313457"/>
    <w:rsid w:val="26E5301D"/>
    <w:rsid w:val="2AF157B2"/>
    <w:rsid w:val="2EED2650"/>
    <w:rsid w:val="2F7978A7"/>
    <w:rsid w:val="30B34D07"/>
    <w:rsid w:val="347D480A"/>
    <w:rsid w:val="351B42C4"/>
    <w:rsid w:val="35B06D54"/>
    <w:rsid w:val="3A0D4008"/>
    <w:rsid w:val="3CAC42E9"/>
    <w:rsid w:val="4047617C"/>
    <w:rsid w:val="41717E2F"/>
    <w:rsid w:val="42B45A47"/>
    <w:rsid w:val="43A36F3D"/>
    <w:rsid w:val="46167FA2"/>
    <w:rsid w:val="468A5083"/>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2020-10-08T07:07:04Z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