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rPr>
          <w:rFonts w:hint="eastAsia"/>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Pr>
          <w:p>
            <w:pPr>
              <w:numPr>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Pr>
          <w:p>
            <w:pPr>
              <w:numPr>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Pr>
          <w:p>
            <w:pPr>
              <w:numPr>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Pr>
          <w:p>
            <w:pPr>
              <w:numPr>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Pr>
          <w:p>
            <w:pPr>
              <w:numPr>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numId w:val="0"/>
              </w:numPr>
              <w:jc w:val="center"/>
              <w:rPr>
                <w:rFonts w:hint="default"/>
                <w:vertAlign w:val="baseline"/>
                <w:lang w:val="en-US" w:eastAsia="zh-CN"/>
              </w:rPr>
            </w:pPr>
            <w:r>
              <w:rPr>
                <w:rFonts w:hint="eastAsia"/>
                <w:vertAlign w:val="baseline"/>
                <w:lang w:val="en-US" w:eastAsia="zh-CN"/>
              </w:rPr>
              <w:t>WCDMA</w:t>
            </w:r>
          </w:p>
        </w:tc>
      </w:tr>
    </w:tbl>
    <w:p>
      <w:pPr>
        <w:bidi w:val="0"/>
        <w:rPr>
          <w:rFonts w:hint="default"/>
          <w:lang w:val="en-US" w:eastAsia="zh-CN"/>
        </w:rPr>
      </w:pPr>
      <w:r>
        <w:rPr>
          <w:rFonts w:hint="eastAsia"/>
          <w:lang w:val="en-US" w:eastAsia="zh-CN"/>
        </w:rPr>
        <w:t>（1）透明模式（TM）（2）非确认模式（UM）（3）确认模式（AM）</w:t>
      </w: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w:t>
      </w:r>
      <w:r>
        <w:rPr>
          <w:rFonts w:hint="default"/>
          <w:lang w:val="en-US" w:eastAsia="zh-CN"/>
        </w:rPr>
        <w:t>2/3</w:t>
      </w:r>
    </w:p>
    <w:p>
      <w:pPr>
        <w:rPr>
          <w:rFonts w:hint="eastAsia"/>
          <w:lang w:val="en-US" w:eastAsia="zh-CN"/>
        </w:rPr>
      </w:pPr>
      <w:r>
        <w:rPr>
          <w:rFonts w:hint="eastAsia"/>
          <w:lang w:val="en-US" w:eastAsia="zh-CN"/>
        </w:rPr>
        <w:t>扩频因子</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VLG、SGSN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格式控制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氧气分子和水蒸气分子对电磁波的吸收、雨雾雪等气象粒子对电磁波的吸收和散射、对流层结构的不均匀性对电磁波的折射、10GHz、10GHz</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bookmarkStart w:id="0" w:name="_GoBack"/>
      <w:bookmarkEnd w:id="0"/>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A40AE"/>
    <w:rsid w:val="146B30E6"/>
    <w:rsid w:val="151A7139"/>
    <w:rsid w:val="15250608"/>
    <w:rsid w:val="1C062472"/>
    <w:rsid w:val="1F1E1830"/>
    <w:rsid w:val="207F3D35"/>
    <w:rsid w:val="2363682C"/>
    <w:rsid w:val="26E5301D"/>
    <w:rsid w:val="2AF157B2"/>
    <w:rsid w:val="2EED2650"/>
    <w:rsid w:val="2F7978A7"/>
    <w:rsid w:val="30B34D07"/>
    <w:rsid w:val="347D480A"/>
    <w:rsid w:val="351B42C4"/>
    <w:rsid w:val="3A0D4008"/>
    <w:rsid w:val="3CAC42E9"/>
    <w:rsid w:val="4047617C"/>
    <w:rsid w:val="41717E2F"/>
    <w:rsid w:val="42B45A47"/>
    <w:rsid w:val="43A36F3D"/>
    <w:rsid w:val="46167FA2"/>
    <w:rsid w:val="468A5083"/>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2020-10-05T01:53:37Z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