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B6E85"/>
          <w:sz w:val="22"/>
          <w:szCs w:val="22"/>
        </w:rPr>
        <w:t xml:space="preserve">STORMX</w:t>
      </w:r>
    </w:p>
    <w:p>
      <w:pPr>
        <w:pStyle w:val="Title"/>
        <w:spacing w:after="100"/>
      </w:pPr>
      <w:r>
        <w:rPr>
          <w:b/>
          <w:bCs/>
          <w:color w:val="494C67"/>
          <w:sz w:val="44"/>
          <w:szCs w:val="44"/>
        </w:rPr>
        <w:t xml:space="preserve">Roteiro de Apresentação</w:t>
      </w:r>
    </w:p>
    <w:p>
      <w:pPr>
        <w:spacing w:after="300"/>
      </w:pPr>
      <w:r>
        <w:rPr>
          <w:b/>
          <w:bCs/>
          <w:color w:val="0C93A6"/>
          <w:sz w:val="24"/>
          <w:szCs w:val="24"/>
        </w:rPr>
        <w:t xml:space="preserve">Preenchimento do RM_STORMX e do ADP — Unilever | Operação 2026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Este documento é um apoio para quem for apresentar o treinamento ao vivo — não é o slide em si, é o que falar em cada um. A segunda parte reúne as perguntas mais prováveis do time de mídia, já com resposta pronta.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Estrutura: (1) roteiro slide a slide, com os pontos-chave a mencionar em cada um e alertas de onde vale desacelerar; (2) Perguntas e Respostas, organizadas por tema.</w:t>
      </w:r>
    </w:p>
    <w:p>
      <w:pPr>
        <w:pBdr>
          <w:bottom w:val="single" w:color="D9DCE3" w:sz="6" w:space="4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94C67"/>
          <w:sz w:val="32"/>
          <w:szCs w:val="32"/>
        </w:rPr>
        <w:t xml:space="preserve">1. Roteiro slide a slide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 — </w:t>
      </w:r>
      <w:r>
        <w:rPr>
          <w:b/>
          <w:bCs/>
          <w:color w:val="494C67"/>
          <w:sz w:val="22"/>
          <w:szCs w:val="22"/>
        </w:rPr>
        <w:t xml:space="preserve">Capa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Abrir dizendo o objetivo da sessão: alinhar como preencher corretamente o RM_STORMX e o ADP para reduzir retrabalho.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 fluxo resumido: Camphouse → RM_STORMX → StormX — vai ser o fio condutor da apresentação inteira.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2 — </w:t>
      </w:r>
      <w:r>
        <w:rPr>
          <w:b/>
          <w:bCs/>
          <w:color w:val="494C67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rápido pelos 7 blocos — não precisa detalhar, só situar o time do que vem pela frente.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3 — </w:t>
      </w:r>
      <w:r>
        <w:rPr>
          <w:b/>
          <w:bCs/>
          <w:color w:val="494C67"/>
          <w:sz w:val="22"/>
          <w:szCs w:val="22"/>
        </w:rPr>
        <w:t xml:space="preserve">Fluxo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 lógica ponta a ponta: exportar do Camphouse, colar na aba Plano - Camphouse, preencher a aba do veículo, StormX processa e devolve a taxonomia.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Reforçar: sempre que novas linhas forem adicionadas no Camphouse, repetir as etapas 3 e 4 (não é só na primeira vez).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é o slide-base — se o time entender bem esse fluxo, o resto da apresentação flui mais rápido.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4 — </w:t>
      </w:r>
      <w:r>
        <w:rPr>
          <w:b/>
          <w:bCs/>
          <w:color w:val="494C67"/>
          <w:sz w:val="22"/>
          <w:szCs w:val="22"/>
        </w:rPr>
        <w:t xml:space="preserve">RM_STORMX x ADP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claro que são dois arquivos com papéis diferentes: RM_STORMX é o que o time preenche todo dia; ADP é o dicionário que alimenta os dropdowns.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Frisar: o mídia não edita o ADP — só consulta.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5 — </w:t>
      </w:r>
      <w:r>
        <w:rPr>
          <w:b/>
          <w:bCs/>
          <w:color w:val="494C67"/>
          <w:sz w:val="22"/>
          <w:szCs w:val="22"/>
        </w:rPr>
        <w:t xml:space="preserve">Importando o plano do Camphouse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 passo a passo: Exportar Stormx → copiar → colar em C3 com Colar Especial → Valores.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por quê: Colar Especial → Valores evita que a formatação do Camphouse quebre a formatação da RM.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6 — </w:t>
      </w:r>
      <w:r>
        <w:rPr>
          <w:b/>
          <w:bCs/>
          <w:color w:val="494C67"/>
          <w:sz w:val="22"/>
          <w:szCs w:val="22"/>
        </w:rPr>
        <w:t xml:space="preserve">Selecionando a aba do veículo certo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os 6 veículos e onde cada campanha se encaixa.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Para campanhas Google PMax, mencionar que existem regras específicas de taxonomia — o detalhe está no slide de Regras de Taxonomia (Google — PMax), também incluído nesta apresentação.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7 — </w:t>
      </w:r>
      <w:r>
        <w:rPr>
          <w:b/>
          <w:bCs/>
          <w:color w:val="494C67"/>
          <w:sz w:val="22"/>
          <w:szCs w:val="22"/>
        </w:rPr>
        <w:t xml:space="preserve">Código de 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as 4 cores uma a uma — essa é a base visual de tudo que vem depois, vale ir devagar aqui.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Roxo = dropdown obrigatório. Amarelo = manual, sem caractere especial. Azul claro = automático, não editar. Cinza = preenchido pela StormX.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Se o time confundir azul claro com amarelo, isso é a origem de boa parte dos erros de preenchimento — reforce a diferença.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8 — </w:t>
      </w:r>
      <w:r>
        <w:rPr>
          <w:b/>
          <w:bCs/>
          <w:color w:val="494C67"/>
          <w:sz w:val="22"/>
          <w:szCs w:val="22"/>
        </w:rPr>
        <w:t xml:space="preserve">A coluna Linha (G): o elo entre as abas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 exemplo prático: o número da Linha na aba do veículo puxa os dados daquela linha do Plano - Camphouse.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Essa coluna vai aparecer de novo mais adiante (erros e regra de cancelamento) — vale marcar que ela é central.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9 — </w:t>
      </w:r>
      <w:r>
        <w:rPr>
          <w:b/>
          <w:bCs/>
          <w:color w:val="494C67"/>
          <w:sz w:val="22"/>
          <w:szCs w:val="22"/>
        </w:rPr>
        <w:t xml:space="preserve">ADP: de onde vêm os valores dos dropdowns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as 3 fontes (Mandated Dimensions &amp; Values, Brand Pos Level, Campaign By Brand Pos).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Regra prática: se um valor não aparece no dropdown, o problema está no cadastro do ADP — não é bug do RM_STORMX.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10 — </w:t>
      </w:r>
      <w:r>
        <w:rPr>
          <w:b/>
          <w:bCs/>
          <w:color w:val="494C67"/>
          <w:sz w:val="22"/>
          <w:szCs w:val="22"/>
        </w:rPr>
        <w:t xml:space="preserve">Validando a string antes de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 o hábito: sempre conferir a string gerada contra as abas de Taxo antes de enviar a solicitação.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Mencionar o “Missing Campaigns” para campanhas sem CN Code ainda.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11 — </w:t>
      </w:r>
      <w:r>
        <w:rPr>
          <w:b/>
          <w:bCs/>
          <w:color w:val="494C67"/>
          <w:sz w:val="22"/>
          <w:szCs w:val="22"/>
        </w:rPr>
        <w:t xml:space="preserve">Erros recorrentes de nomenclatura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os 4 erros com exemplo rápido de cada: caracteres proibidos, Campaign Name genérico, Ad Name duplicado, cópia de Ad Group/Ad Name.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é um bom momento para perguntar se alguém já passou por um desses — costuma gerar identificação e perguntas.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12 — </w:t>
      </w:r>
      <w:r>
        <w:rPr>
          <w:b/>
          <w:bCs/>
          <w:color w:val="494C67"/>
          <w:sz w:val="22"/>
          <w:szCs w:val="22"/>
        </w:rPr>
        <w:t xml:space="preserve">Regras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as 5 regras uma a uma, com ênfase em duas: só a StormX cria taxonomia, e responder o Jira quando solicitado (é o que mais atrasa prazo hoje).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13 — </w:t>
      </w:r>
      <w:r>
        <w:rPr>
          <w:b/>
          <w:bCs/>
          <w:color w:val="494C67"/>
          <w:sz w:val="22"/>
          <w:szCs w:val="22"/>
        </w:rPr>
        <w:t xml:space="preserve">Implementação: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muito claro os 3 pontos: aprovação de criativo é do mídia (CTA, destino, peculiaridades da peça); copiar e colar exatamente o que vem da RM; sempre informar o contato de envio dos materiais, principalmente quando vêm de Ad Server.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slide costuma gerar dúvida sobre até onde vai a responsabilidade da StormX — ver Q&amp;A correspondente.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14 — </w:t>
      </w:r>
      <w:r>
        <w:rPr>
          <w:b/>
          <w:bCs/>
          <w:color w:val="494C67"/>
          <w:sz w:val="22"/>
          <w:szCs w:val="22"/>
        </w:rPr>
        <w:t xml:space="preserve">Classificação de Influenciadores — BRD, INF e UGC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as 3 categorias e o critério que decide entre elas: existe link de influenciador ou não.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Repetir o erro mais comum: classificar como BRD uma campanha que tem influenciador (ou o oposto).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15 — </w:t>
      </w:r>
      <w:r>
        <w:rPr>
          <w:b/>
          <w:bCs/>
          <w:color w:val="494C67"/>
          <w:sz w:val="22"/>
          <w:szCs w:val="22"/>
        </w:rPr>
        <w:t xml:space="preserve">Datas e alterações — cuidados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os 3 pontos: formato de data inconsistente (ISO x US), alteração na coluna G (cancelar + recriar, não só alterar), e a mensagem “Verificar Plano de Mídia”.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É o slide mais técnico da apresentação — ir com calma, principalmente na parte da coluna G.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17 — </w:t>
      </w:r>
      <w:r>
        <w:rPr>
          <w:b/>
          <w:bCs/>
          <w:color w:val="494C67"/>
          <w:sz w:val="22"/>
          <w:szCs w:val="22"/>
        </w:rPr>
        <w:t xml:space="preserve">Nossos SLAs — RM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a tabela e explicar que o prazo varia por volume de linhas (10 a 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Reforçar: esses prazos valem para RM completa e sem pendência de asset — RM incompleta muda tudo.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18 — </w:t>
      </w:r>
      <w:r>
        <w:rPr>
          <w:b/>
          <w:bCs/>
          <w:color w:val="494C67"/>
          <w:sz w:val="22"/>
          <w:szCs w:val="22"/>
        </w:rPr>
        <w:t xml:space="preserve">Nossos SLAs — Flashtalking e regras gerais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as tabelas de Tags e Contadores, explicando o “+ prazo” como o tempo de retorno da própria Flashtalking.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Fechar com as regras gerais de atendimento (até 16h mesmo dia útil, após 16h próximo dia útil) e que eventualidades podem ser combinadas caso a caso.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19 — </w:t>
      </w:r>
      <w:r>
        <w:rPr>
          <w:b/>
          <w:bCs/>
          <w:color w:val="494C67"/>
          <w:sz w:val="22"/>
          <w:szCs w:val="22"/>
        </w:rPr>
        <w:t xml:space="preserve">Checklist final e erros comuns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rápido pelos itens obrigatórios e pela lista de erros comuns — é o resumo prático antes de qualquer envio.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 o campo Solicitante: como o acesso ao Jira é por e-mail de time (genérico e compartilhado), o nome de quem pediu precisa estar sempre preenchido — o e-mail sozinho não identifica ninguém.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16 — </w:t>
      </w:r>
      <w:r>
        <w:rPr>
          <w:b/>
          <w:bCs/>
          <w:color w:val="494C67"/>
          <w:sz w:val="22"/>
          <w:szCs w:val="22"/>
        </w:rPr>
        <w:t>Regras de Taxonomia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Apresentar este slide como biblioteca de referência rápida: o time pode consultar aqui as regras de taxonomia por plataforma durante e após o treinamento, sem precisar abrir outro arquivo.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a busca e os filtros por categoria (Geral, Google, Influenciadores, TikTok, Twitter, Flashtalking) — cada regra abre em accordion com motivo, regra, strings de taxonomia e alertas de atenção.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Regras com status “Aguardando aprovação UL” (PMax e Twitter Amplify) estão visíveis, mas destacadas — reforçar que ainda não estão em vigor.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20 — </w:t>
      </w:r>
      <w:r>
        <w:rPr>
          <w:b/>
          <w:bCs/>
          <w:color w:val="494C67"/>
          <w:sz w:val="22"/>
          <w:szCs w:val="22"/>
        </w:rPr>
        <w:t>Regras de Taxonomia — Geral (1/2)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Apresentar como referência técnica das principais regras de nomenclatura, complementar ao fluxo operacional já visto.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Taxonomia por Plataforma: reforçar que cada plataforma tem estrutura própria — nunca usar a taxonomy de uma em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 Name Duplicado: mesmo asset idêntico exige Ad Name diferente por Ad Group. Cada um tem ID único — solicitar sempre à StormX.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Cópia de Ad Group/Ad Name: nunca duplicar direto na plataforma — sufixos "cópia"/"copy" quebram a taxonomy.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Caracteres Especiais: proibido acento, apóstrofo, travessão, underscore e pipe. Só letras sem acentuação, números e hífen.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Limite de Caracteres: nunca reduzir por conta própria — comunicar a StormX quando houver limitação técnica.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21 — </w:t>
      </w:r>
      <w:r>
        <w:rPr>
          <w:b/>
          <w:bCs/>
          <w:color w:val="494C67"/>
          <w:sz w:val="22"/>
          <w:szCs w:val="22"/>
        </w:rPr>
        <w:t>Regras de Taxonomia — Geral (2/2) e Google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Taxonomia Genérica: só aceita em urgência ou fora do horário comercial. Corrigir para a versão correta em até 24h úteis.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Campaign Name: genérico só enquanto o Global não aprovou o nome oficial. Assim que chegar, todas as taxonomias devem ser ajustadas.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PMax: sem Ad Group — quebra extra de Format Type Local no Campaign (valor: "pmax"). Aguardando aprovação UL — consultar StormX.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Search: Publisher = "google-search". Google Demand Gen: Publisher varia — "google-ads" se Publisher = Google, "youtube" se Publisher = YouTube.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22 — </w:t>
      </w:r>
      <w:r>
        <w:rPr>
          <w:b/>
          <w:bCs/>
          <w:color w:val="494C67"/>
          <w:sz w:val="22"/>
          <w:szCs w:val="22"/>
        </w:rPr>
        <w:t>Regras de Taxonomia — Influenciadores, TikTok, Twitter e Flashtalking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Influenciadores: BRD = sem link. INF = Brand Handle + Influencer Handle (Galileo). UGC = só Influencer Handle. Com handle, InfluencerName some do freetext.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TikTok Branded Mission: solicitar duas taxonomias à StormX (plataforma TikTok + compra direta na planilha). Mesmo ID nas duas.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Twitter Amplify: Publisher = "Twitter-Amplify". Aguardando aprovação 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Flashtalking via API: Ad Group + Ad Name unificados em Placement Name. Campaign usa "na" nos campos que mudam entre linhas.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23 — </w:t>
      </w:r>
      <w:r>
        <w:rPr>
          <w:b/>
          <w:bCs/>
          <w:color w:val="494C67"/>
          <w:sz w:val="22"/>
          <w:szCs w:val="22"/>
        </w:rPr>
        <w:t xml:space="preserve">Recapitulando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Resumir os 4 pontos-chave e abrir para perguntas.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94C67"/>
          <w:sz w:val="32"/>
          <w:szCs w:val="32"/>
        </w:rPr>
        <w:t xml:space="preserve">2. Perguntas e Respostas — time de mídia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Perguntas organizadas por tema, na ordem em que os assuntos aparecem na apresentação.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RM_STORMX, ADP e fluxo geral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acesso ao Jira é por e-mail de time (genérico) — como vocês sabem quem realmente fez a solicitação?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por isso que o campo Solicitante é obrigatório: como o login é compartilhado dentro do time, o e-mail sozinho não identifica a pessoa. Sempre preencha seu nome ali, mesmo estando logado com o e-mail genérico.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não posso editar os campos azul claro?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Porque eles são preenchidos automaticamente por fórmula, puxando os dados da linha correspondente no Plano - Camphouse via coluna G. Editar manualmente quebra essa ligação e pode deixar o dado desatualizado sem que ninguém perceba.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Se eu adicionar uma campanha nova no Camphouse depois de já ter preenchido a RM, preciso refazer tudo?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só exportar de novo, copiar apenas as linhas novas e colar logo abaixo da última linha já preenchida na aba Plano - Camphouse, sempre com Colar Especial → Valores.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Um valor que eu preciso não aparece no dropdown do RM_STORMX. É bug?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Normalmente não é bug do RM_STORMX — o dropdown é alimentado pelo ADP. Se o valor não está lá, o cadastro que falta é no ADP, e isso é responsabilidade da StormX corrigir.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Código de cores e coluna Linha (G)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preencher um campo azul claro manualmente se eu tiver certeza do valor certo?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Não. Mesmo que o valor pareça óbvio, editar quebra a fórmula da linha. Se o valor automático estiver errado, o problema está em outro lugar (geralmente a Linha em G) — corrija lá, não no campo azul claro.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Fiz uma alteração e mudei o número da coluna G. Isso conta como uma alteração normal?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mudar o G não é uma alteração simples, porque ele recalcula todos os campos azul claro daquela linha, mesmo os que você não tocou. Nesse caso, cancele a linha atual e crie uma nova solicitação.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Erros recorrentes e regras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não posso usar acento ou caractere especial na taxonomia?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Porque esses caracteres quebram a leitura da string nas plataformas e no banco de dados de report, gerando inconsistência que só aparece depois, no QA ou no dashboard.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usar um Campaign Name genérico enquanto aguardo a aprovação do Global?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Sim, é a única exceção aceita — mas assim que o Campaign Name oficial chegar, todas as taxonomias precisam ser ajustadas para refletir o nome definitivo.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duplicar um Ad Group ou Ad Name direto na plataforma se a peça for exatamente igual?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Não, mesmo com o asset idêntico. Cada Ad Group precisa do seu próprio Ad Name, solicitado individualmente à StormX — evite os sufixos automáticos de “cópia”/“copy” que algumas plataformas geram.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preencher o ADP para agilizar, já que sei o que precisa?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só a StormX está autorizada a criar taxonomia no ADP. Se um ADP preenchido chegar até a StormX, a orientação é descrever a demanda na task do Jira e seguir o fluxo normal.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E se for uma campanha muito urgente e não der tempo de esperar a taxonomia pronta?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possível subir com taxonomia genérica, mas só com autorização do cliente por e-mail. Depois, é obrigatório solicitar a taxonomia correta via Jira e corrigir a linha na plataforma em até 24h.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que acontece se eu não responder quando a StormX pede mais informação no ticket do Jira?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A demanda fica parada até a resposta — isso atrasa a criação da taxonomia e conta contra o prazo combinado, mesmo que o atraso não seja da StormX.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Implementação e aprovação de criativos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A StormX valida se o criativo está correto (CTA, destino, formato)?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A StormX pode apoiar, mas quem valida e aprova o criativo é o mídia — é quem conhece as peculiaridades da peça. A responsabilidade final pela aprovação do criativo é do mídia, não da StormX.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digitar a taxonomia de novo na plataforma em vez de copiar da RM?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é recomendado — sempre copie e cole exatamente o que está na RM. Digitar de novo abre espaço para erro de transcrição e pode gerar uma string diferente da que foi validada.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Preciso informar quem vai receber os materiais criados?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Sim, sempre — principalmente quando o material vem de Ad Server (Flashtalking). Sem o contato certo informado, a entrega do material trava.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Classificação de Influenciadores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Qual a diferença entre INF e UGC?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INF usa o handle da marca junto com o do influenciador no Galileo. UGC usa somente o handle do influenciador. Os dois exigem o link do influenciador — a diferença é de quem “assina” o post.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Se eu não tiver certeza se a campanha vai ter influenciador, posso classificar como BRD por padrão?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é recomendado. Confirme antes se existe link de influenciador — se existir, a classificação nunca pode ser BRD, precisa ser INF ou UGC conforme a estratégia.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Datas e alterações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Percebi que a data de início de algumas linhas está num formato diferente das outras. Isso é problema?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 — se “Data de Início” ou “Data Fim” vierem misturadas (algumas em ISO 2026-05-01, outras em US 05/31/2026) dentro da mesma coluna, isso pode gerar leitura errada na taxonomia. Padronize o formato antes de prosseguir.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Apareceu “Verificar Plano de Mídia” numa célula. O que eu faço?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um aviso de fórmula (SEERRO no lugar do #N/A): significa que a fórmula não encontrou correspondência no Plano - Camphouse para aquela linha. Volte à aba Plano/Plano - Camphouse, confira o número da Linha (G) e ajuste antes de enviar.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SLA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Quanto tempo demora a criação de uma taxonomia?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Depende do volume de linhas: de 45 minutos (até 10 linhas) a 16 horas (até 500 linhas), considerando a RM completa e os assets já recebidos.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prazo de SLA vale mesmo se a RM estiver incompleta?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RM incompleta, sem asset ou sem tarefa criada no Jira tira o SLA padrão da mesa. Nesses casos, o prazo passa a depender de quando o mídia completa a informação.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Existe um prazo diferente para casos excepcionais ou fora da rotina?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Eventualidades fora do padrão podem ser combinadas caso a caso diretamente com o time StormX — não é um fluxo formal separado, é conversa direta quando a situação fugir do previsto.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Pausar uma campanha segue o mesmo prazo de criação?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Não, pausas têm prazo bem mais curto — de 10 a 20 minutos dependendo do volume, já que é uma operação mais simples que criação ou alteração.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2026-07-25T02:59:53.776Z</dcterms:created>
  <dcterms:modified xsi:type="dcterms:W3CDTF">2026-07-25T02:59:53.777Z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