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C4F07">
              <w:rPr>
                <w:rFonts w:cs="Arial"/>
                <w:b/>
                <w:color w:val="FFFFFF" w:themeColor="background1"/>
                <w:szCs w:val="18"/>
              </w:rPr>
              <w:t>41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7513AE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C4F07">
                  <w:rPr>
                    <w:rFonts w:cs="Arial"/>
                    <w:sz w:val="28"/>
                    <w:szCs w:val="18"/>
                  </w:rPr>
                  <w:t>07/01/2016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FC4F07">
        <w:tc>
          <w:tcPr>
            <w:tcW w:w="5387" w:type="dxa"/>
            <w:shd w:val="clear" w:color="auto" w:fill="E6E6E6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FC4F07" w:rsidRPr="002C2B7A" w:rsidTr="00FC4F07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Daniel Donaire</w:t>
            </w:r>
          </w:p>
        </w:tc>
      </w:tr>
      <w:tr w:rsidR="00FC4F07" w:rsidRPr="002C2B7A" w:rsidTr="00FC4F07">
        <w:tc>
          <w:tcPr>
            <w:tcW w:w="5387" w:type="dxa"/>
            <w:vMerge/>
          </w:tcPr>
          <w:p w:rsidR="00FC4F07" w:rsidRDefault="00FC4F07" w:rsidP="00FC4F07">
            <w:pPr>
              <w:pStyle w:val="Cabealho"/>
              <w:jc w:val="center"/>
            </w:pP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E2B3A">
              <w:t>Roberto Muto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</w:tcPr>
          <w:p w:rsidR="00FC4F07" w:rsidRPr="0021250F" w:rsidRDefault="003155CD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Dennys Bruno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FC4F07" w:rsidRPr="002C2B7A" w:rsidTr="00FC4F07">
        <w:tc>
          <w:tcPr>
            <w:tcW w:w="5387" w:type="dxa"/>
          </w:tcPr>
          <w:p w:rsidR="00FC4F07" w:rsidRDefault="00FC4F07" w:rsidP="00FC4F07">
            <w:pPr>
              <w:pStyle w:val="Cabealho"/>
              <w:tabs>
                <w:tab w:val="left" w:pos="3225"/>
              </w:tabs>
              <w:jc w:val="center"/>
            </w:pPr>
            <w:r>
              <w:t xml:space="preserve">CSC </w:t>
            </w:r>
            <w:r>
              <w:t>-</w:t>
            </w:r>
            <w:r>
              <w:t xml:space="preserve"> </w:t>
            </w:r>
            <w:r>
              <w:t>Gestão de Mudanças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FC4F07" w:rsidRPr="002C2B7A" w:rsidTr="00FC4F07">
        <w:tc>
          <w:tcPr>
            <w:tcW w:w="5387" w:type="dxa"/>
            <w:vAlign w:val="center"/>
          </w:tcPr>
          <w:p w:rsidR="00FC4F07" w:rsidRDefault="00FC4F07" w:rsidP="00FC4F07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552FC9">
              <w:t>Luis Marçal</w:t>
            </w:r>
          </w:p>
        </w:tc>
      </w:tr>
      <w:tr w:rsidR="00FC4F07" w:rsidRPr="002C2B7A" w:rsidTr="00FC4F07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FC4F07" w:rsidRPr="002C2B7A" w:rsidTr="00FC4F07">
        <w:tc>
          <w:tcPr>
            <w:tcW w:w="5387" w:type="dxa"/>
            <w:vMerge/>
            <w:vAlign w:val="center"/>
          </w:tcPr>
          <w:p w:rsidR="00FC4F07" w:rsidRDefault="00FC4F07" w:rsidP="00FC4F07">
            <w:pPr>
              <w:pStyle w:val="Cabealho"/>
              <w:jc w:val="center"/>
            </w:pPr>
          </w:p>
        </w:tc>
        <w:tc>
          <w:tcPr>
            <w:tcW w:w="5386" w:type="dxa"/>
          </w:tcPr>
          <w:p w:rsidR="00FC4F07" w:rsidRPr="0021250F" w:rsidRDefault="00FC4F07" w:rsidP="00FC4F07">
            <w:pPr>
              <w:pStyle w:val="Cabealho"/>
              <w:jc w:val="center"/>
            </w:pPr>
            <w:r w:rsidRPr="002E2B3A">
              <w:t>Wagner Fumagalli</w:t>
            </w:r>
          </w:p>
        </w:tc>
      </w:tr>
      <w:tr w:rsidR="00FC4F07" w:rsidRPr="002C2B7A" w:rsidTr="00FC4F07">
        <w:tc>
          <w:tcPr>
            <w:tcW w:w="5387" w:type="dxa"/>
            <w:vMerge/>
          </w:tcPr>
          <w:p w:rsidR="00FC4F07" w:rsidRDefault="00FC4F07" w:rsidP="00FC4F07">
            <w:pPr>
              <w:pStyle w:val="Cabealho"/>
              <w:jc w:val="center"/>
            </w:pPr>
          </w:p>
        </w:tc>
        <w:tc>
          <w:tcPr>
            <w:tcW w:w="5386" w:type="dxa"/>
          </w:tcPr>
          <w:p w:rsidR="00FC4F07" w:rsidRPr="002E2B3A" w:rsidRDefault="00FC4F07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812C97" w:rsidRDefault="00812C97" w:rsidP="00332EBF">
            <w:pPr>
              <w:pStyle w:val="Cabealho"/>
              <w:jc w:val="both"/>
            </w:pPr>
            <w:r>
              <w:t>A reunião teve início com a discussão sobre os indicadores previstos para o mês de janeiro:</w:t>
            </w:r>
          </w:p>
          <w:p w:rsidR="00812C97" w:rsidRDefault="00812C97" w:rsidP="00332EBF">
            <w:pPr>
              <w:pStyle w:val="Cabealho"/>
              <w:jc w:val="both"/>
            </w:pPr>
          </w:p>
          <w:p w:rsidR="00812C97" w:rsidRDefault="00812C97" w:rsidP="00812C97">
            <w:pPr>
              <w:pStyle w:val="Cabealho"/>
              <w:jc w:val="center"/>
            </w:pPr>
            <w:r>
              <w:object w:dxaOrig="6975" w:dyaOrig="19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348.75pt;height:95.25pt" o:ole="">
                  <v:imagedata r:id="rId9" o:title=""/>
                </v:shape>
                <o:OLEObject Type="Embed" ProgID="PBrush" ShapeID="_x0000_i1027" DrawAspect="Content" ObjectID="_1513671087" r:id="rId10"/>
              </w:objec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Retângulo 1" descr="Exibindo imag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75E13FF" id="Retângulo 1" o:spid="_x0000_s1026" alt="Exibindo 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r9pWRygIAANMFAAAOAAAAAAAAAAAAAAAAAC4CAABkcnMvZTJvRG9jLnhtbFBLAQItABQA&#10;BgAIAAAAIQBMoOks2AAAAAMBAAAPAAAAAAAAAAAAAAAAACQFAABkcnMvZG93bnJldi54bWxQSwUG&#10;AAAAAAQABADzAAAAK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812C97" w:rsidRDefault="00812C97" w:rsidP="00332EBF">
            <w:pPr>
              <w:pStyle w:val="Cabealho"/>
              <w:jc w:val="both"/>
            </w:pPr>
          </w:p>
          <w:p w:rsidR="00FC4F07" w:rsidRDefault="00812C97" w:rsidP="00332EBF">
            <w:pPr>
              <w:pStyle w:val="Cabealho"/>
              <w:jc w:val="both"/>
            </w:pPr>
            <w:r>
              <w:t>Foi proposto estimar para os resultados em cima do fechamento do mês anterior para as prioridades média e baixa, entretanto a</w:t>
            </w:r>
            <w:r w:rsidR="007476EB">
              <w:t xml:space="preserve">inda não é possível </w:t>
            </w:r>
            <w:r>
              <w:t xml:space="preserve">fazê-lo </w:t>
            </w:r>
            <w:r w:rsidR="00510A43">
              <w:t>devido aos critérios de alto impacto não estarem muito bem difundidos.</w:t>
            </w:r>
          </w:p>
          <w:p w:rsidR="005A758A" w:rsidRDefault="005A758A" w:rsidP="00332EBF">
            <w:pPr>
              <w:pStyle w:val="Cabealho"/>
              <w:jc w:val="both"/>
            </w:pPr>
          </w:p>
          <w:p w:rsidR="005A758A" w:rsidRDefault="005A758A" w:rsidP="00332EBF">
            <w:pPr>
              <w:pStyle w:val="Cabealho"/>
              <w:jc w:val="both"/>
            </w:pPr>
            <w:r>
              <w:t xml:space="preserve">Como critérios de avalição </w:t>
            </w:r>
            <w:r w:rsidR="00510A43">
              <w:t xml:space="preserve">dos chamados de alto impacto </w:t>
            </w:r>
            <w:r>
              <w:t xml:space="preserve">para reunião foram definidos </w:t>
            </w:r>
            <w:r w:rsidR="00E57740">
              <w:t>os itens</w:t>
            </w:r>
            <w:r>
              <w:t>:</w:t>
            </w:r>
          </w:p>
          <w:p w:rsidR="005A758A" w:rsidRDefault="005A758A" w:rsidP="00332EBF">
            <w:pPr>
              <w:pStyle w:val="Cabealho"/>
              <w:jc w:val="both"/>
            </w:pPr>
          </w:p>
          <w:p w:rsidR="005A758A" w:rsidRDefault="005A758A" w:rsidP="005A758A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É chamado de alto impacto?</w:t>
            </w:r>
          </w:p>
          <w:p w:rsidR="005A758A" w:rsidRDefault="005A758A" w:rsidP="005A758A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O responsável pela solução está correto?</w:t>
            </w:r>
          </w:p>
          <w:p w:rsidR="005A758A" w:rsidRDefault="005A758A" w:rsidP="005A758A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A resolução está correta?</w:t>
            </w:r>
          </w:p>
          <w:p w:rsidR="005A758A" w:rsidRDefault="005A758A" w:rsidP="005A758A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O texto da resolução está de acordo?</w:t>
            </w:r>
          </w:p>
          <w:p w:rsidR="005A758A" w:rsidRDefault="005A758A" w:rsidP="00332EBF">
            <w:pPr>
              <w:pStyle w:val="Cabealho"/>
              <w:jc w:val="both"/>
            </w:pPr>
          </w:p>
          <w:tbl>
            <w:tblPr>
              <w:tblW w:w="1021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65"/>
              <w:gridCol w:w="2822"/>
              <w:gridCol w:w="2711"/>
              <w:gridCol w:w="2819"/>
            </w:tblGrid>
            <w:tr w:rsidR="007476EB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000000" w:themeFill="text1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822" w:type="dxa"/>
                  <w:shd w:val="clear" w:color="auto" w:fill="000000" w:themeFill="text1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711" w:type="dxa"/>
                  <w:shd w:val="clear" w:color="auto" w:fill="000000" w:themeFill="text1"/>
                  <w:vAlign w:val="center"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819" w:type="dxa"/>
                  <w:shd w:val="clear" w:color="auto" w:fill="000000" w:themeFill="text1"/>
                  <w:vAlign w:val="center"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7476EB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CTXSPOAL-102232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711" w:type="dxa"/>
                  <w:vAlign w:val="center"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t>Célio avaliar fechamento texto e resolução</w:t>
                  </w:r>
                </w:p>
              </w:tc>
              <w:tc>
                <w:tcPr>
                  <w:tcW w:w="2819" w:type="dxa"/>
                  <w:vAlign w:val="center"/>
                </w:tcPr>
                <w:p w:rsidR="007476EB" w:rsidRPr="007476EB" w:rsidRDefault="00775AB9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</w:t>
                  </w:r>
                  <w:r w:rsid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Donaire</w:t>
                  </w:r>
                </w:p>
              </w:tc>
            </w:tr>
            <w:tr w:rsidR="007476EB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CTXRJOED-58379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Dados</w:t>
                  </w:r>
                </w:p>
              </w:tc>
              <w:tc>
                <w:tcPr>
                  <w:tcW w:w="2711" w:type="dxa"/>
                  <w:vAlign w:val="center"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Reabrir e fechar como indevido</w:t>
                  </w:r>
                </w:p>
              </w:tc>
              <w:tc>
                <w:tcPr>
                  <w:tcW w:w="2819" w:type="dxa"/>
                  <w:vAlign w:val="center"/>
                </w:tcPr>
                <w:p w:rsidR="007476EB" w:rsidRPr="007476EB" w:rsidRDefault="007476EB" w:rsidP="00876E6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</w:t>
                  </w:r>
                  <w:r w:rsidR="00775A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Antunes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876E6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 w:rsidR="00775AB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Daniel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Donaire</w:t>
                  </w:r>
                </w:p>
              </w:tc>
            </w:tr>
            <w:tr w:rsidR="00876E6F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CTXFORNA-27436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Citibank Financial</w:t>
                  </w:r>
                </w:p>
              </w:tc>
              <w:tc>
                <w:tcPr>
                  <w:tcW w:w="2711" w:type="dxa"/>
                  <w:vMerge w:val="restart"/>
                  <w:vAlign w:val="center"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responsável pela solução</w:t>
                  </w:r>
                </w:p>
              </w:tc>
              <w:tc>
                <w:tcPr>
                  <w:tcW w:w="2819" w:type="dxa"/>
                  <w:vMerge w:val="restart"/>
                  <w:vAlign w:val="center"/>
                </w:tcPr>
                <w:p w:rsidR="00876E6F" w:rsidRPr="007476EB" w:rsidRDefault="00876E6F" w:rsidP="00876E6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876E6F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CTXPOARB-99557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Ger Planejamento SAC</w:t>
                  </w:r>
                </w:p>
              </w:tc>
              <w:tc>
                <w:tcPr>
                  <w:tcW w:w="2711" w:type="dxa"/>
                  <w:vMerge/>
                  <w:vAlign w:val="center"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  <w:tc>
                <w:tcPr>
                  <w:tcW w:w="2819" w:type="dxa"/>
                  <w:vMerge/>
                  <w:vAlign w:val="center"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876E6F" w:rsidRPr="007476EB" w:rsidTr="00875372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CTXNITSP-175774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Dealer</w:t>
                  </w:r>
                </w:p>
              </w:tc>
              <w:tc>
                <w:tcPr>
                  <w:tcW w:w="5530" w:type="dxa"/>
                  <w:gridSpan w:val="2"/>
                  <w:vMerge w:val="restart"/>
                  <w:vAlign w:val="center"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existe ação a ser tomada</w:t>
                  </w:r>
                </w:p>
              </w:tc>
            </w:tr>
            <w:tr w:rsidR="00876E6F" w:rsidRPr="007476EB" w:rsidTr="00875372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CTXBHZRI-96768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URC Crédito</w:t>
                  </w:r>
                </w:p>
              </w:tc>
              <w:tc>
                <w:tcPr>
                  <w:tcW w:w="5530" w:type="dxa"/>
                  <w:gridSpan w:val="2"/>
                  <w:vMerge/>
                  <w:vAlign w:val="center"/>
                </w:tcPr>
                <w:p w:rsidR="00876E6F" w:rsidRPr="007476EB" w:rsidRDefault="00876E6F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7476EB" w:rsidRPr="007476EB" w:rsidTr="007476EB">
              <w:trPr>
                <w:trHeight w:val="300"/>
                <w:jc w:val="center"/>
              </w:trPr>
              <w:tc>
                <w:tcPr>
                  <w:tcW w:w="1865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CTXRECSA-451427</w:t>
                  </w:r>
                </w:p>
              </w:tc>
              <w:tc>
                <w:tcPr>
                  <w:tcW w:w="2822" w:type="dxa"/>
                  <w:shd w:val="clear" w:color="auto" w:fill="auto"/>
                  <w:noWrap/>
                  <w:vAlign w:val="center"/>
                  <w:hideMark/>
                </w:tcPr>
                <w:p w:rsidR="007476EB" w:rsidRPr="007476EB" w:rsidRDefault="007476EB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7476EB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711" w:type="dxa"/>
                  <w:vAlign w:val="center"/>
                </w:tcPr>
                <w:p w:rsidR="007476EB" w:rsidRPr="007476EB" w:rsidRDefault="005A758A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Reabrir e alterar o fechamento</w:t>
                  </w:r>
                </w:p>
              </w:tc>
              <w:tc>
                <w:tcPr>
                  <w:tcW w:w="2819" w:type="dxa"/>
                  <w:vAlign w:val="center"/>
                </w:tcPr>
                <w:p w:rsidR="007476EB" w:rsidRPr="007476EB" w:rsidRDefault="005A758A" w:rsidP="007476E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FC4F07" w:rsidRDefault="00FC4F07" w:rsidP="00332EBF">
            <w:pPr>
              <w:pStyle w:val="Cabealho"/>
              <w:jc w:val="both"/>
            </w:pPr>
          </w:p>
          <w:p w:rsidR="00CF26AB" w:rsidRDefault="00CF26AB" w:rsidP="00332EBF">
            <w:pPr>
              <w:pStyle w:val="Cabealho"/>
              <w:jc w:val="both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t xml:space="preserve">Utilizando o chamado </w:t>
            </w:r>
            <w:r w:rsidRPr="007476EB">
              <w:rPr>
                <w:rFonts w:ascii="Calibri" w:eastAsia="Times New Roman" w:hAnsi="Calibri" w:cs="Times New Roman"/>
                <w:color w:val="000000"/>
                <w:lang w:eastAsia="pt-BR"/>
              </w:rPr>
              <w:t>CTXRECSA-451427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como exemplo aventou-se a ideia de tratar chamado encerrados “sem intervenção técnica” com as características:</w:t>
            </w:r>
          </w:p>
          <w:p w:rsidR="00B6348F" w:rsidRDefault="00B6348F" w:rsidP="00332EBF">
            <w:pPr>
              <w:pStyle w:val="Cabealho"/>
              <w:jc w:val="both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</w:p>
          <w:p w:rsidR="007476EB" w:rsidRDefault="00793D55" w:rsidP="00CF26AB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Negociar com o cliente</w:t>
            </w:r>
          </w:p>
          <w:p w:rsidR="00793D55" w:rsidRDefault="00793D55" w:rsidP="00CF26AB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Filtrar na entrada</w:t>
            </w:r>
          </w:p>
          <w:p w:rsidR="00793D55" w:rsidRPr="00332EBF" w:rsidRDefault="00793D55" w:rsidP="00CF26AB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Segregar indicador</w:t>
            </w:r>
          </w:p>
        </w:tc>
      </w:tr>
    </w:tbl>
    <w:p w:rsidR="00840DC8" w:rsidRDefault="00840DC8" w:rsidP="00DA4754"/>
    <w:sectPr w:rsidR="00840DC8" w:rsidSect="00B47D72">
      <w:footerReference w:type="default" r:id="rId11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3AE" w:rsidRDefault="007513AE" w:rsidP="00B04E41">
      <w:pPr>
        <w:spacing w:after="0" w:line="240" w:lineRule="auto"/>
      </w:pPr>
      <w:r>
        <w:separator/>
      </w:r>
    </w:p>
  </w:endnote>
  <w:endnote w:type="continuationSeparator" w:id="0">
    <w:p w:rsidR="007513AE" w:rsidRDefault="007513A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732E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732E2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3AE" w:rsidRDefault="007513AE" w:rsidP="00B04E41">
      <w:pPr>
        <w:spacing w:after="0" w:line="240" w:lineRule="auto"/>
      </w:pPr>
      <w:r>
        <w:separator/>
      </w:r>
    </w:p>
  </w:footnote>
  <w:footnote w:type="continuationSeparator" w:id="0">
    <w:p w:rsidR="007513AE" w:rsidRDefault="007513A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14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0"/>
  </w:num>
  <w:num w:numId="15">
    <w:abstractNumId w:val="7"/>
  </w:num>
  <w:num w:numId="1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2wRzOmclGb3vg3RR89bjvVkm+WxBCducYaNKVKVvRRzalcsavYou9hIWIoVTgx+/HF4iwYyYOwa9i+t4oOQKuw==" w:salt="f7EaV7cnbgHE3wcQrRegO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A758A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7181E"/>
    <w:rsid w:val="00772DF7"/>
    <w:rsid w:val="00773C9D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76E6F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D7306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32E2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E5169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D28A7-AD64-4A19-B635-16C1EDFE5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286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16</cp:revision>
  <cp:lastPrinted>2015-05-20T14:35:00Z</cp:lastPrinted>
  <dcterms:created xsi:type="dcterms:W3CDTF">2016-01-07T12:12:00Z</dcterms:created>
  <dcterms:modified xsi:type="dcterms:W3CDTF">2016-01-07T13:25:00Z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