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1261648C" w14:textId="77777777" w:rsidTr="00B6729D">
        <w:tc>
          <w:tcPr>
            <w:tcW w:w="2410" w:type="dxa"/>
          </w:tcPr>
          <w:p w14:paraId="62100A29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C4BF882" wp14:editId="69897CC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C62A2AF" w14:textId="77777777" w:rsidR="00531AE3" w:rsidRPr="0023394D" w:rsidRDefault="0034264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CA02AB09E568475F8DFED19BE08224C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F07DA9C" w14:textId="77777777" w:rsidR="00462496" w:rsidRPr="007A0692" w:rsidRDefault="007A0692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Entrega de Serviços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072626B2012F49C9BD934C576583EB1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B5A4DA4" w14:textId="77777777" w:rsidR="00462496" w:rsidRPr="007A069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D5B0BC7" w14:textId="77777777" w:rsidR="00462496" w:rsidRPr="007A069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8DF9E9E" w14:textId="77777777" w:rsidR="00462496" w:rsidRPr="007A069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5D4FE9E" w14:textId="77777777" w:rsidR="00462496" w:rsidRPr="007A069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E7BD168" w14:textId="77777777" w:rsidTr="00B6729D">
        <w:tc>
          <w:tcPr>
            <w:tcW w:w="10490" w:type="dxa"/>
            <w:shd w:val="clear" w:color="auto" w:fill="B2B2B2"/>
          </w:tcPr>
          <w:p w14:paraId="3738F0D4" w14:textId="77777777" w:rsidR="00462496" w:rsidRPr="007A069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6E80B61A" w14:textId="77777777" w:rsidTr="00B6729D">
        <w:tc>
          <w:tcPr>
            <w:tcW w:w="10490" w:type="dxa"/>
          </w:tcPr>
          <w:p w14:paraId="0F1D34D6" w14:textId="497BC586" w:rsidR="00462496" w:rsidRPr="00323062" w:rsidRDefault="00E81125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1DE03F9B4B764281807F278BA760CF2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3E494C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NM-1781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B010AB99848041EEB37C448B992AEAE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05DEE731" w14:textId="77777777" w:rsidTr="00B6729D">
        <w:tc>
          <w:tcPr>
            <w:tcW w:w="10490" w:type="dxa"/>
            <w:shd w:val="clear" w:color="auto" w:fill="B2B2B2"/>
          </w:tcPr>
          <w:p w14:paraId="5AD704C5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5357EC4F" w14:textId="77777777" w:rsidR="007A0692" w:rsidRPr="00682E4D" w:rsidRDefault="007A0692" w:rsidP="007A0692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sz w:val="20"/>
          <w:szCs w:val="20"/>
        </w:rPr>
      </w:pPr>
      <w:r w:rsidRPr="00682E4D">
        <w:rPr>
          <w:rFonts w:ascii="Verdana" w:hAnsi="Verdana" w:cs="Verdana"/>
          <w:b/>
          <w:bCs/>
          <w:sz w:val="20"/>
          <w:szCs w:val="20"/>
        </w:rPr>
        <w:t>REFERÊNCIA</w:t>
      </w:r>
    </w:p>
    <w:p w14:paraId="6F1184AA" w14:textId="77777777" w:rsidR="007A0692" w:rsidRPr="00682E4D" w:rsidRDefault="007A0692" w:rsidP="007A0692">
      <w:pPr>
        <w:pStyle w:val="PargrafodaLista"/>
        <w:autoSpaceDE w:val="0"/>
        <w:autoSpaceDN w:val="0"/>
        <w:adjustRightInd w:val="0"/>
        <w:spacing w:after="0" w:line="240" w:lineRule="atLeast"/>
        <w:ind w:left="819"/>
        <w:rPr>
          <w:rFonts w:ascii="Verdana" w:hAnsi="Verdana" w:cs="Verdana"/>
          <w:b/>
          <w:bCs/>
          <w:sz w:val="20"/>
          <w:szCs w:val="20"/>
        </w:rPr>
      </w:pPr>
    </w:p>
    <w:p w14:paraId="0E1B522A" w14:textId="77777777" w:rsidR="007A0692" w:rsidRPr="00682E4D" w:rsidRDefault="007A0692" w:rsidP="007A0692">
      <w:pPr>
        <w:spacing w:after="0" w:line="240" w:lineRule="auto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GTD.04 - Entrega de Serviços</w:t>
      </w:r>
    </w:p>
    <w:p w14:paraId="492BD805" w14:textId="77777777" w:rsidR="007A0692" w:rsidRPr="00682E4D" w:rsidRDefault="007A0692" w:rsidP="007A0692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320B0B96" w14:textId="77777777" w:rsidR="007A0692" w:rsidRPr="00682E4D" w:rsidRDefault="007A0692" w:rsidP="007A0692">
      <w:pPr>
        <w:spacing w:after="0" w:line="240" w:lineRule="auto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CC8562D" w14:textId="77777777" w:rsidR="007A0692" w:rsidRPr="00682E4D" w:rsidRDefault="007A0692" w:rsidP="007A0692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C9EF0A3" w14:textId="77777777" w:rsidR="007A0692" w:rsidRPr="00682E4D" w:rsidRDefault="007A0692" w:rsidP="007A069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82E4D"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58827375" w14:textId="77777777" w:rsidR="007A0692" w:rsidRPr="00682E4D" w:rsidRDefault="007A0692" w:rsidP="007A069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Esta Norma tem o objetivo de definir quais são os critérios de aceitação da implantação de novos projetos para o Manter, considerando aspectos/requerimentos da área de Sustentação de Aplicações e de Infraestrutura.</w:t>
      </w:r>
    </w:p>
    <w:p w14:paraId="1F942BF8" w14:textId="77777777" w:rsidR="007A0692" w:rsidRPr="00682E4D" w:rsidRDefault="007A0692" w:rsidP="007A069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267821E" w14:textId="77777777" w:rsidR="007A0692" w:rsidRPr="00682E4D" w:rsidRDefault="007A0692" w:rsidP="007A069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82E4D">
        <w:rPr>
          <w:rFonts w:ascii="Verdana" w:hAnsi="Verdana" w:cs="Verdana"/>
          <w:b/>
          <w:bCs/>
          <w:sz w:val="20"/>
          <w:szCs w:val="20"/>
        </w:rPr>
        <w:t>3. APLICAÇÃO</w:t>
      </w:r>
    </w:p>
    <w:p w14:paraId="27F77525" w14:textId="77777777" w:rsidR="007A0692" w:rsidRPr="00682E4D" w:rsidRDefault="007A0692" w:rsidP="007A069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A aplicação desta norma esta voltada para o processo de transição para o Manter das áreas de Sustentação de aplicações e de suporte a Infraestrutura, consolidando os critérios de validação e aceite para a transição.</w:t>
      </w:r>
    </w:p>
    <w:p w14:paraId="5B55C16A" w14:textId="77777777" w:rsidR="007A0692" w:rsidRPr="00682E4D" w:rsidRDefault="007A0692" w:rsidP="007A0692">
      <w:pPr>
        <w:tabs>
          <w:tab w:val="left" w:pos="0"/>
          <w:tab w:val="left" w:pos="261"/>
        </w:tabs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</w:p>
    <w:p w14:paraId="03E9E976" w14:textId="77777777" w:rsidR="007A0692" w:rsidRPr="00682E4D" w:rsidRDefault="007A0692" w:rsidP="007A069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82E4D">
        <w:rPr>
          <w:rFonts w:ascii="Verdana" w:hAnsi="Verdana" w:cs="Verdana"/>
          <w:b/>
          <w:bCs/>
          <w:sz w:val="20"/>
          <w:szCs w:val="20"/>
        </w:rPr>
        <w:t xml:space="preserve">4. RECURSOS NECESSÁRIOS </w:t>
      </w:r>
    </w:p>
    <w:p w14:paraId="3FAE0133" w14:textId="77777777" w:rsidR="007A0692" w:rsidRPr="00682E4D" w:rsidRDefault="007A0692" w:rsidP="007A0692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ab/>
        <w:t>Esta norma não requer nenhum recurso material em termos de equipamentos e/ou sistemas necessários para sua utilização. Apenas lista os critérios de aceitação para validação de implantação e transição para o manter.</w:t>
      </w:r>
    </w:p>
    <w:p w14:paraId="1170D740" w14:textId="77777777" w:rsidR="007A0692" w:rsidRPr="00682E4D" w:rsidRDefault="007A0692" w:rsidP="007A0692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ab/>
        <w:t>Os documentos mencionados nesta Norma ( “Checklist de Transição”, ”Boas Praticas para contratos de Sustentação” e “Considerações de Contratos SaaS” ) estão disponíveis no endereço abaixo :</w:t>
      </w:r>
    </w:p>
    <w:p w14:paraId="30FE5DEF" w14:textId="77777777" w:rsidR="007A0692" w:rsidRPr="00682E4D" w:rsidRDefault="007A0692" w:rsidP="007A0692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“http://equipes.natura.net/vptd/Infraestrutura/sustentacao/_layouts/15/start.aspx#/Documentos%20Compartilhados/Forms/AllItems.aspx?RootFolder=%2Fvptd%2FInfraestrutura%2Fsustentacao%2FDocumentos%20Compartilhados%2FTransi%C3%A7%C3%A3o%20Projetos%2FDocumentos%20da%20Norma%20%2D%20Entrega%20de%20Servi%C3%A7os&amp;FolderCTID=0x0120007F0C0CC2A3703940B0BED6597D530849&amp;View=%7B4EDBAC1C%2D355A%2D422A%2D839C%2DE67EE9195C27%7D”</w:t>
      </w:r>
    </w:p>
    <w:p w14:paraId="29666FB2" w14:textId="77777777" w:rsidR="007A0692" w:rsidRPr="00682E4D" w:rsidRDefault="007A0692" w:rsidP="007A0692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9D7B948" w14:textId="77777777" w:rsidR="007A0692" w:rsidRPr="00682E4D" w:rsidRDefault="007A0692" w:rsidP="007A0692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682E4D">
        <w:rPr>
          <w:rFonts w:ascii="Verdana" w:hAnsi="Verdana" w:cs="Verdana"/>
          <w:b/>
          <w:bCs/>
          <w:sz w:val="20"/>
          <w:szCs w:val="20"/>
        </w:rPr>
        <w:tab/>
        <w:t xml:space="preserve">  5. DEFINIÇÕES</w:t>
      </w:r>
    </w:p>
    <w:p w14:paraId="43EBF325" w14:textId="77777777" w:rsidR="007A0692" w:rsidRPr="00682E4D" w:rsidRDefault="007A0692" w:rsidP="007A0692">
      <w:pPr>
        <w:spacing w:after="0"/>
        <w:ind w:firstLine="459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T2R – Tranisition to Run – Transição de responsabilidade de manutenção e suporte da equipe de projeto para a equipe de manter (aplicações e infraestrutura)</w:t>
      </w:r>
    </w:p>
    <w:p w14:paraId="4DDBB32C" w14:textId="77777777" w:rsidR="007A0692" w:rsidRPr="00682E4D" w:rsidRDefault="007A0692" w:rsidP="007A0692">
      <w:pPr>
        <w:spacing w:after="0"/>
        <w:ind w:firstLine="459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SaaS – Software as a Service – contratação de uso de um software como um serviço, sendo que toda a infraestrutura e licenças correm por conta do fornecedor.</w:t>
      </w:r>
    </w:p>
    <w:p w14:paraId="00758BEF" w14:textId="77777777" w:rsidR="007A0692" w:rsidRPr="00682E4D" w:rsidRDefault="007A0692" w:rsidP="007A0692">
      <w:pPr>
        <w:spacing w:after="0"/>
        <w:ind w:firstLine="459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SLAs – Service Level Agreements – Acordos de níveis de serviços</w:t>
      </w:r>
    </w:p>
    <w:p w14:paraId="38860759" w14:textId="77777777" w:rsidR="007A0692" w:rsidRPr="00682E4D" w:rsidRDefault="007A0692" w:rsidP="007A0692">
      <w:pPr>
        <w:spacing w:after="0"/>
        <w:ind w:firstLine="459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GSA – Gerencia de Sustentação de Aplicações;</w:t>
      </w:r>
    </w:p>
    <w:p w14:paraId="08D4ABAA" w14:textId="77777777" w:rsidR="007A0692" w:rsidRPr="00682E4D" w:rsidRDefault="007A0692" w:rsidP="007A0692">
      <w:pPr>
        <w:spacing w:after="0"/>
        <w:ind w:firstLine="459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GST – Gerencia de Suporte Técnico;</w:t>
      </w:r>
    </w:p>
    <w:p w14:paraId="61CA5EE4" w14:textId="77777777" w:rsidR="007A0692" w:rsidRPr="00682E4D" w:rsidRDefault="007A0692" w:rsidP="007A0692">
      <w:pPr>
        <w:spacing w:after="0"/>
        <w:ind w:firstLine="459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E2E – acrônismo para End to End, (Fim a Fim);</w:t>
      </w:r>
    </w:p>
    <w:p w14:paraId="2BA72B45" w14:textId="77777777" w:rsidR="007A0692" w:rsidRPr="00682E4D" w:rsidRDefault="007A0692" w:rsidP="007A0692">
      <w:pPr>
        <w:spacing w:after="0"/>
        <w:ind w:firstLine="459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IC – Item de Configuração;</w:t>
      </w:r>
    </w:p>
    <w:p w14:paraId="4733B2C2" w14:textId="77777777" w:rsidR="007A0692" w:rsidRPr="00682E4D" w:rsidRDefault="007A0692" w:rsidP="007A0692">
      <w:pPr>
        <w:spacing w:after="0"/>
        <w:ind w:firstLine="459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P1/P3 – Etapas do processo de aprovação de um projeto dentro do MNGP (Manual Natura de Gestão de Projetos);</w:t>
      </w:r>
    </w:p>
    <w:p w14:paraId="255D9B43" w14:textId="77777777" w:rsidR="007A0692" w:rsidRPr="00682E4D" w:rsidRDefault="007A0692" w:rsidP="007A0692">
      <w:pPr>
        <w:spacing w:after="0"/>
        <w:ind w:firstLine="459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Backup/Archiving – Solução de armazenamento de dados para restabelecimento de sistemas e aplicações do período anterior a perda das informações.</w:t>
      </w:r>
    </w:p>
    <w:p w14:paraId="131A2A91" w14:textId="77777777" w:rsidR="007A0692" w:rsidRPr="00682E4D" w:rsidRDefault="007A0692" w:rsidP="007A0692">
      <w:pPr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 xml:space="preserve">Jobs – Script de Execução de serviços periódicos planejados </w:t>
      </w:r>
    </w:p>
    <w:p w14:paraId="6DDFAC41" w14:textId="77777777" w:rsidR="007A0692" w:rsidRPr="00682E4D" w:rsidRDefault="007A0692" w:rsidP="007A0692">
      <w:pPr>
        <w:spacing w:after="0"/>
        <w:jc w:val="both"/>
        <w:rPr>
          <w:rFonts w:ascii="Verdana" w:hAnsi="Verdana" w:cs="Verdana"/>
          <w:sz w:val="20"/>
          <w:szCs w:val="20"/>
        </w:rPr>
      </w:pPr>
    </w:p>
    <w:p w14:paraId="38E02091" w14:textId="77777777" w:rsidR="007A0692" w:rsidRPr="00682E4D" w:rsidRDefault="007A0692" w:rsidP="007A069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82E4D">
        <w:rPr>
          <w:rFonts w:ascii="Verdana" w:hAnsi="Verdana" w:cs="Verdana"/>
          <w:b/>
          <w:bCs/>
          <w:sz w:val="20"/>
          <w:szCs w:val="20"/>
        </w:rPr>
        <w:t xml:space="preserve">6. DESCRIÇÃO </w:t>
      </w:r>
    </w:p>
    <w:p w14:paraId="094E2455" w14:textId="77777777" w:rsidR="007A0692" w:rsidRPr="00682E4D" w:rsidRDefault="007A0692" w:rsidP="007A069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 xml:space="preserve">A Lista dos critérios que devem ser avaliados para a aceitação da transição do projeto para o Manter segue detalhada em um documento de “Checklist de Transição”. Os pontos abaixo resumem este checklist de Transição, que estão divididos em quatro grandes partes: </w:t>
      </w:r>
    </w:p>
    <w:p w14:paraId="15D49990" w14:textId="77777777" w:rsidR="007A0692" w:rsidRPr="00682E4D" w:rsidRDefault="007A0692" w:rsidP="007A0692">
      <w:pPr>
        <w:pStyle w:val="PargrafodaLista"/>
        <w:numPr>
          <w:ilvl w:val="0"/>
          <w:numId w:val="2"/>
        </w:num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682E4D">
        <w:rPr>
          <w:rFonts w:ascii="Verdana" w:hAnsi="Verdana" w:cs="Arial"/>
          <w:b/>
          <w:snapToGrid w:val="0"/>
          <w:sz w:val="20"/>
          <w:szCs w:val="20"/>
        </w:rPr>
        <w:t>Documentação do Projeto</w:t>
      </w:r>
    </w:p>
    <w:p w14:paraId="1813E422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 xml:space="preserve">Receber documentação atualizada como por exemplo especificações, Plano de testes, propostas, contratos e editais </w:t>
      </w:r>
    </w:p>
    <w:p w14:paraId="4E23B661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Requerimentos de projeto aprovados em P1 e P3 (quando disponível)</w:t>
      </w:r>
    </w:p>
    <w:p w14:paraId="4B1892C3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Cronograma detalhado da implementação</w:t>
      </w:r>
    </w:p>
    <w:p w14:paraId="08C30F6C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Lista de atividades criticas pendentes na época da transição e riscos/impactos associados (Carta de Risco)</w:t>
      </w:r>
    </w:p>
    <w:p w14:paraId="3E3347C6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Lições aprendidas</w:t>
      </w:r>
    </w:p>
    <w:p w14:paraId="505550D8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Códigos fonte e versionamento dos componentes de software da solução</w:t>
      </w:r>
    </w:p>
    <w:p w14:paraId="740B471B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Documentação para treinamentos funcionais (usuário) e técnicos (GSA/GST)</w:t>
      </w:r>
    </w:p>
    <w:p w14:paraId="6FB3D270" w14:textId="77777777" w:rsidR="007A0692" w:rsidRPr="00682E4D" w:rsidRDefault="007A0692" w:rsidP="007A0692">
      <w:pPr>
        <w:pStyle w:val="PargrafodaLista"/>
        <w:spacing w:after="0"/>
        <w:ind w:left="189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09D07CC" w14:textId="77777777" w:rsidR="007A0692" w:rsidRPr="00682E4D" w:rsidRDefault="007A0692" w:rsidP="007A0692">
      <w:pPr>
        <w:pStyle w:val="PargrafodaLista"/>
        <w:numPr>
          <w:ilvl w:val="0"/>
          <w:numId w:val="1"/>
        </w:num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682E4D">
        <w:rPr>
          <w:rFonts w:ascii="Verdana" w:hAnsi="Verdana" w:cs="Arial"/>
          <w:b/>
          <w:snapToGrid w:val="0"/>
          <w:sz w:val="20"/>
          <w:szCs w:val="20"/>
        </w:rPr>
        <w:t>Requisitos de Sustentação de aplicações</w:t>
      </w:r>
    </w:p>
    <w:p w14:paraId="034119B8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Níveis de serviços com definição de indicadores, métricas e metas de atendimento definidas de acordo com a criticidade do serviços para o negócio da Natura; Considerar SLAs de todos os contratos envolvidos para entrega E2E do serviço conforme definido no catalogo de serviços para com o negócio.</w:t>
      </w:r>
    </w:p>
    <w:p w14:paraId="73845DF0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Período de suporte pos go live com um mínimo de 45 dias corridos</w:t>
      </w:r>
    </w:p>
    <w:p w14:paraId="3814C5F0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Período mínimo de garantia de 3 meses associado a parâmetros de qualidade (ex: 1 erro de código a cada 1000 horas de desenvolvimento) que se não alcançados, implicam em extensão até 06 meses de garantia.</w:t>
      </w:r>
    </w:p>
    <w:p w14:paraId="0FFA5B70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Volume de backlog de tickets pendentes de projetos dentro do baseline contratado com o fornecedor de Manter.</w:t>
      </w:r>
    </w:p>
    <w:p w14:paraId="12928399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Treinamentos sobre processos, ferramentas e rituais internos da Natura para Fornecedores/terceiros envolvidos;</w:t>
      </w:r>
    </w:p>
    <w:p w14:paraId="19CF48FF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Concessão de acessos, alteração de perfis e criação de filas de atendimento;</w:t>
      </w:r>
    </w:p>
    <w:p w14:paraId="40300BE5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Aquisição e Dimensionamento de licenças de software envolvidas</w:t>
      </w:r>
    </w:p>
    <w:p w14:paraId="0E451EF2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Agentes de monitoração automatizada ou procedimentos de monitoração manual proativa.</w:t>
      </w:r>
    </w:p>
    <w:p w14:paraId="0CC0D9B9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Detalhar interfaces com outros sistemas/serviços já implementados e possíveis implicações de documentação/atualização técnica e contratual.</w:t>
      </w:r>
    </w:p>
    <w:p w14:paraId="5D6D3D56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KT com treinamento para a equipe de Manter (aplicações e/ou infra)</w:t>
      </w:r>
    </w:p>
    <w:p w14:paraId="42D6EFBF" w14:textId="77777777" w:rsidR="007A0692" w:rsidRPr="00682E4D" w:rsidRDefault="007A0692" w:rsidP="007A0692">
      <w:pPr>
        <w:pStyle w:val="PargrafodaLista"/>
        <w:numPr>
          <w:ilvl w:val="0"/>
          <w:numId w:val="1"/>
        </w:num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682E4D">
        <w:rPr>
          <w:rFonts w:ascii="Verdana" w:hAnsi="Verdana" w:cs="Arial"/>
          <w:b/>
          <w:snapToGrid w:val="0"/>
          <w:sz w:val="20"/>
          <w:szCs w:val="20"/>
        </w:rPr>
        <w:t>Requisitos do Manter de Infraestrutura</w:t>
      </w:r>
    </w:p>
    <w:p w14:paraId="4AB8549E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Detalhes sobre a arquitetura do projeto com especificações técnicas do landscape e documentação associada;</w:t>
      </w:r>
    </w:p>
    <w:p w14:paraId="1C931043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Concessão de acessos e criação de filas de atendimento;</w:t>
      </w:r>
    </w:p>
    <w:p w14:paraId="50E38C2B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Cadastro de ICs com categorização e definição dos SLAs de atendimento de acordo com a criticidade do serviços para o negocio, de acordo com o processo de Gestão de Configuração;</w:t>
      </w:r>
    </w:p>
    <w:p w14:paraId="44851F71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Cadastro e documentação de novos Jobs envolvidos</w:t>
      </w:r>
    </w:p>
    <w:p w14:paraId="42141961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Detalhes e documentação das interfaces de infraestrutura e cargas de dados envolvidas;</w:t>
      </w:r>
    </w:p>
    <w:p w14:paraId="181E6439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Alinhamento do projeto com as politicas de backup/archiving da solução;</w:t>
      </w:r>
    </w:p>
    <w:p w14:paraId="60F7AB35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Analise de capacidade de links, equipamentos e baseline de contratos que podem repassar custos , caso tenham sido mal dimensionados;</w:t>
      </w:r>
    </w:p>
    <w:p w14:paraId="186FFB8E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Indicadores de performance e disponibilidade da infraestrutura alinhadas aos de sistemas acordados com o negocio no catalogo de serviços;</w:t>
      </w:r>
    </w:p>
    <w:p w14:paraId="1B122E43" w14:textId="77777777" w:rsidR="007A0692" w:rsidRPr="00682E4D" w:rsidRDefault="007A0692" w:rsidP="007A0692">
      <w:pPr>
        <w:pStyle w:val="PargrafodaLista"/>
        <w:numPr>
          <w:ilvl w:val="0"/>
          <w:numId w:val="1"/>
        </w:num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682E4D">
        <w:rPr>
          <w:rFonts w:ascii="Verdana" w:hAnsi="Verdana" w:cs="Arial"/>
          <w:b/>
          <w:snapToGrid w:val="0"/>
          <w:sz w:val="20"/>
          <w:szCs w:val="20"/>
        </w:rPr>
        <w:t>Requisitos do Manter de fornecedores e contratados</w:t>
      </w:r>
    </w:p>
    <w:p w14:paraId="2385723F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Alterações contratuais necessárias para suportar/adequar serviços a novas demandas;</w:t>
      </w:r>
    </w:p>
    <w:p w14:paraId="517C8D50" w14:textId="77777777" w:rsidR="007A0692" w:rsidRPr="00682E4D" w:rsidRDefault="007A0692" w:rsidP="007A0692">
      <w:pPr>
        <w:pStyle w:val="PargrafodaLista"/>
        <w:numPr>
          <w:ilvl w:val="1"/>
          <w:numId w:val="1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lastRenderedPageBreak/>
        <w:t>Alterações orçamentarias necessárias para suportar/adequar serviços a novas demandas;</w:t>
      </w:r>
    </w:p>
    <w:p w14:paraId="32461945" w14:textId="77777777" w:rsidR="007A0692" w:rsidRPr="00682E4D" w:rsidRDefault="007A0692" w:rsidP="007A069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644326D" w14:textId="77777777" w:rsidR="007A0692" w:rsidRPr="00682E4D" w:rsidRDefault="007A0692" w:rsidP="007A0692">
      <w:pPr>
        <w:spacing w:after="0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Além dos itens de checklist descritos acima, também é necessária a avaliação do contrato de Sustentação do Manter. Esta atividade consiste na verificação de clausulas que fazem parte da especificação dos serviços contratados, definindo escopo, cobertura, responsabilidades, processos e ferramentas envolvidos. Estes pontos foram resumidos em um documento que direciona e ajuda na elaboração de propostas e contratos com  itens que devem ser endereçados para garantir alinhamento com as necessidades da área de Sustentação de Aplicações, “ Boas Praticas para Contratos de Sustentação” em anexo .</w:t>
      </w:r>
    </w:p>
    <w:p w14:paraId="414F4894" w14:textId="77777777" w:rsidR="007A0692" w:rsidRPr="00682E4D" w:rsidRDefault="007A0692" w:rsidP="007A0692">
      <w:pPr>
        <w:spacing w:after="0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9A02C76" w14:textId="77777777" w:rsidR="007A0692" w:rsidRPr="00682E4D" w:rsidRDefault="007A0692" w:rsidP="007A0692">
      <w:pPr>
        <w:spacing w:after="0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Para uma modalidade particular de contratação de serviços  SaaS (Software as a Service – Software como Serviços)  devemos considerar os critérios descritos no documento “Considerações de Contratos SaaS”.</w:t>
      </w:r>
    </w:p>
    <w:p w14:paraId="30D6646A" w14:textId="77777777" w:rsidR="007A0692" w:rsidRPr="00682E4D" w:rsidRDefault="007A0692" w:rsidP="007A069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BD6FD2B" w14:textId="77777777" w:rsidR="007A0692" w:rsidRPr="00682E4D" w:rsidRDefault="007A0692" w:rsidP="007A069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1BB191C" w14:textId="77777777" w:rsidR="007A0692" w:rsidRPr="00682E4D" w:rsidRDefault="007A0692" w:rsidP="007A069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82E4D">
        <w:rPr>
          <w:rFonts w:ascii="Verdana" w:hAnsi="Verdana" w:cs="Verdana"/>
          <w:b/>
          <w:bCs/>
          <w:sz w:val="20"/>
          <w:szCs w:val="20"/>
        </w:rPr>
        <w:t>7. DISPOSIÇÕES GERAIS</w:t>
      </w:r>
    </w:p>
    <w:p w14:paraId="31BF33BF" w14:textId="77777777" w:rsidR="007A0692" w:rsidRPr="00682E4D" w:rsidRDefault="007A0692" w:rsidP="007A069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N/A</w:t>
      </w:r>
    </w:p>
    <w:p w14:paraId="0F30E182" w14:textId="77777777" w:rsidR="007A0692" w:rsidRPr="00682E4D" w:rsidRDefault="007A0692" w:rsidP="007A0692">
      <w:p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6147F7C4" w14:textId="77777777" w:rsidR="007A0692" w:rsidRPr="00682E4D" w:rsidRDefault="007A0692" w:rsidP="007A0692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82E4D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20F8F53E" w14:textId="77777777" w:rsidR="007A0692" w:rsidRPr="00682E4D" w:rsidRDefault="007A0692" w:rsidP="007A0692">
      <w:pPr>
        <w:ind w:left="426"/>
        <w:rPr>
          <w:rFonts w:ascii="Verdana" w:hAnsi="Verdana" w:cs="Arial"/>
          <w:snapToGrid w:val="0"/>
          <w:sz w:val="20"/>
          <w:szCs w:val="20"/>
        </w:rPr>
      </w:pPr>
      <w:r w:rsidRPr="00682E4D">
        <w:rPr>
          <w:rFonts w:ascii="Verdana" w:hAnsi="Verdana" w:cs="Arial"/>
          <w:snapToGrid w:val="0"/>
          <w:sz w:val="20"/>
          <w:szCs w:val="20"/>
        </w:rPr>
        <w:t>IT-2090 - Elaborar plano de implantação</w:t>
      </w:r>
    </w:p>
    <w:p w14:paraId="67EC25B0" w14:textId="2F21D2B1" w:rsidR="007A0692" w:rsidRPr="00682E4D" w:rsidRDefault="007A0692" w:rsidP="007A0692">
      <w:p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696ECFCA" w14:textId="77777777" w:rsidR="007A0692" w:rsidRPr="00682E4D" w:rsidRDefault="007A0692" w:rsidP="007A0692">
      <w:pPr>
        <w:autoSpaceDE w:val="0"/>
        <w:autoSpaceDN w:val="0"/>
        <w:adjustRightInd w:val="0"/>
        <w:spacing w:after="0"/>
        <w:ind w:left="513"/>
        <w:jc w:val="both"/>
        <w:rPr>
          <w:rFonts w:ascii="Verdana" w:hAnsi="Verdana" w:cs="Tahoma"/>
          <w:b/>
          <w:bCs/>
          <w:sz w:val="20"/>
          <w:szCs w:val="20"/>
        </w:rPr>
      </w:pPr>
      <w:r w:rsidRPr="00682E4D">
        <w:rPr>
          <w:rFonts w:ascii="Verdana" w:hAnsi="Verdana" w:cs="Tahoma"/>
          <w:b/>
          <w:bCs/>
          <w:sz w:val="20"/>
          <w:szCs w:val="20"/>
        </w:rPr>
        <w:t xml:space="preserve">9. ANEXOS  </w:t>
      </w:r>
    </w:p>
    <w:p w14:paraId="5B266614" w14:textId="77777777" w:rsidR="007A0692" w:rsidRPr="00682E4D" w:rsidRDefault="007A0692" w:rsidP="007A0692">
      <w:pPr>
        <w:autoSpaceDE w:val="0"/>
        <w:autoSpaceDN w:val="0"/>
        <w:adjustRightInd w:val="0"/>
        <w:spacing w:after="0"/>
        <w:ind w:left="513"/>
        <w:jc w:val="both"/>
        <w:rPr>
          <w:rFonts w:ascii="Verdana" w:hAnsi="Verdana" w:cs="Tahoma"/>
          <w:bCs/>
          <w:sz w:val="20"/>
          <w:szCs w:val="20"/>
        </w:rPr>
      </w:pPr>
      <w:r w:rsidRPr="00682E4D">
        <w:rPr>
          <w:rFonts w:ascii="Verdana" w:hAnsi="Verdana" w:cs="Tahoma"/>
          <w:bCs/>
          <w:sz w:val="20"/>
          <w:szCs w:val="20"/>
        </w:rPr>
        <w:t>N/A</w:t>
      </w:r>
    </w:p>
    <w:p w14:paraId="6B26E41B" w14:textId="77777777" w:rsidR="007A0692" w:rsidRPr="00682E4D" w:rsidRDefault="007A0692" w:rsidP="007A0692">
      <w:pPr>
        <w:autoSpaceDE w:val="0"/>
        <w:autoSpaceDN w:val="0"/>
        <w:adjustRightInd w:val="0"/>
        <w:spacing w:after="0"/>
        <w:ind w:left="513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4E09CDA7" w14:textId="77777777" w:rsidR="007A0692" w:rsidRPr="00682E4D" w:rsidRDefault="007A0692" w:rsidP="007A0692">
      <w:pPr>
        <w:autoSpaceDE w:val="0"/>
        <w:autoSpaceDN w:val="0"/>
        <w:adjustRightInd w:val="0"/>
        <w:spacing w:after="0"/>
        <w:ind w:left="513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69236498" w14:textId="77777777" w:rsidR="007A0692" w:rsidRPr="00682E4D" w:rsidRDefault="007A0692" w:rsidP="007A0692">
      <w:pPr>
        <w:jc w:val="both"/>
        <w:rPr>
          <w:rFonts w:ascii="Verdana" w:hAnsi="Verdana" w:cs="Arial"/>
          <w:snapToGrid w:val="0"/>
          <w:sz w:val="20"/>
          <w:szCs w:val="20"/>
        </w:rPr>
      </w:pPr>
    </w:p>
    <w:p w14:paraId="0DD70EC3" w14:textId="77777777" w:rsidR="007A0692" w:rsidRPr="00682E4D" w:rsidRDefault="007A0692" w:rsidP="007A0692">
      <w:pPr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0E5E05C4" w14:textId="77777777" w:rsidR="007A0692" w:rsidRPr="00682E4D" w:rsidRDefault="007A0692" w:rsidP="007A0692">
      <w:pPr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480FE926" w14:textId="77777777" w:rsidR="007A0692" w:rsidRDefault="007A0692" w:rsidP="007A0692">
      <w:pPr>
        <w:autoSpaceDE w:val="0"/>
        <w:autoSpaceDN w:val="0"/>
        <w:adjustRightInd w:val="0"/>
        <w:spacing w:after="0"/>
        <w:ind w:left="459"/>
        <w:rPr>
          <w:rFonts w:ascii="Verdana" w:hAnsi="Verdana"/>
          <w:sz w:val="20"/>
          <w:szCs w:val="20"/>
        </w:rPr>
      </w:pPr>
    </w:p>
    <w:p w14:paraId="25703272" w14:textId="77777777" w:rsidR="00462496" w:rsidRPr="007A069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sectPr w:rsidR="00462496" w:rsidRPr="007A069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A4B45"/>
    <w:multiLevelType w:val="hybridMultilevel"/>
    <w:tmpl w:val="BB7E6F66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">
    <w:nsid w:val="40287213"/>
    <w:multiLevelType w:val="hybridMultilevel"/>
    <w:tmpl w:val="33A21B44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>
    <w:nsid w:val="50DC3B56"/>
    <w:multiLevelType w:val="hybridMultilevel"/>
    <w:tmpl w:val="FB2675F2"/>
    <w:lvl w:ilvl="0" w:tplc="E370F24C">
      <w:start w:val="1"/>
      <w:numFmt w:val="decimal"/>
      <w:lvlText w:val="%1."/>
      <w:lvlJc w:val="left"/>
      <w:pPr>
        <w:ind w:left="819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539" w:hanging="360"/>
      </w:pPr>
    </w:lvl>
    <w:lvl w:ilvl="2" w:tplc="0416001B" w:tentative="1">
      <w:start w:val="1"/>
      <w:numFmt w:val="lowerRoman"/>
      <w:lvlText w:val="%3."/>
      <w:lvlJc w:val="right"/>
      <w:pPr>
        <w:ind w:left="2259" w:hanging="180"/>
      </w:pPr>
    </w:lvl>
    <w:lvl w:ilvl="3" w:tplc="0416000F" w:tentative="1">
      <w:start w:val="1"/>
      <w:numFmt w:val="decimal"/>
      <w:lvlText w:val="%4."/>
      <w:lvlJc w:val="left"/>
      <w:pPr>
        <w:ind w:left="2979" w:hanging="360"/>
      </w:pPr>
    </w:lvl>
    <w:lvl w:ilvl="4" w:tplc="04160019" w:tentative="1">
      <w:start w:val="1"/>
      <w:numFmt w:val="lowerLetter"/>
      <w:lvlText w:val="%5."/>
      <w:lvlJc w:val="left"/>
      <w:pPr>
        <w:ind w:left="3699" w:hanging="360"/>
      </w:pPr>
    </w:lvl>
    <w:lvl w:ilvl="5" w:tplc="0416001B" w:tentative="1">
      <w:start w:val="1"/>
      <w:numFmt w:val="lowerRoman"/>
      <w:lvlText w:val="%6."/>
      <w:lvlJc w:val="right"/>
      <w:pPr>
        <w:ind w:left="4419" w:hanging="180"/>
      </w:pPr>
    </w:lvl>
    <w:lvl w:ilvl="6" w:tplc="0416000F" w:tentative="1">
      <w:start w:val="1"/>
      <w:numFmt w:val="decimal"/>
      <w:lvlText w:val="%7."/>
      <w:lvlJc w:val="left"/>
      <w:pPr>
        <w:ind w:left="5139" w:hanging="360"/>
      </w:pPr>
    </w:lvl>
    <w:lvl w:ilvl="7" w:tplc="04160019" w:tentative="1">
      <w:start w:val="1"/>
      <w:numFmt w:val="lowerLetter"/>
      <w:lvlText w:val="%8."/>
      <w:lvlJc w:val="left"/>
      <w:pPr>
        <w:ind w:left="5859" w:hanging="360"/>
      </w:pPr>
    </w:lvl>
    <w:lvl w:ilvl="8" w:tplc="0416001B" w:tentative="1">
      <w:start w:val="1"/>
      <w:numFmt w:val="lowerRoman"/>
      <w:lvlText w:val="%9."/>
      <w:lvlJc w:val="right"/>
      <w:pPr>
        <w:ind w:left="657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692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3E494C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7A0692"/>
    <w:rsid w:val="00891023"/>
    <w:rsid w:val="008A7D0A"/>
    <w:rsid w:val="00951778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E411DC"/>
    <w:rsid w:val="00E8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299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A06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A0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Norma/Port_Modelo_N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A02AB09E568475F8DFED19BE08224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0F11F8-19FE-4F28-A0E4-CF817271EF4E}"/>
      </w:docPartPr>
      <w:docPartBody>
        <w:p w14:paraId="39A9AAE4" w14:textId="77777777" w:rsidR="000D5642" w:rsidRDefault="000D5642">
          <w:pPr>
            <w:pStyle w:val="CA02AB09E568475F8DFED19BE08224C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72626B2012F49C9BD934C576583EB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0A9269-7A65-486D-8C4A-0426E7E47656}"/>
      </w:docPartPr>
      <w:docPartBody>
        <w:p w14:paraId="39A9AAE5" w14:textId="77777777" w:rsidR="000D5642" w:rsidRDefault="000D5642">
          <w:pPr>
            <w:pStyle w:val="072626B2012F49C9BD934C576583EB1E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1DE03F9B4B764281807F278BA760CF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AD28B7-3D3A-484F-98E8-16213CCA31A1}"/>
      </w:docPartPr>
      <w:docPartBody>
        <w:p w14:paraId="39A9AAE6" w14:textId="77777777" w:rsidR="000D5642" w:rsidRDefault="000D5642">
          <w:pPr>
            <w:pStyle w:val="1DE03F9B4B764281807F278BA760CF20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B010AB99848041EEB37C448B992AEA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78634E-93B1-4757-8BDC-B1B31335FECB}"/>
      </w:docPartPr>
      <w:docPartBody>
        <w:p w14:paraId="39A9AAE7" w14:textId="77777777" w:rsidR="000D5642" w:rsidRDefault="000D5642">
          <w:pPr>
            <w:pStyle w:val="B010AB99848041EEB37C448B992AEAE2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642"/>
    <w:rsid w:val="000D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9AAE4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CA02AB09E568475F8DFED19BE08224CF">
    <w:name w:val="CA02AB09E568475F8DFED19BE08224CF"/>
  </w:style>
  <w:style w:type="paragraph" w:customStyle="1" w:styleId="072626B2012F49C9BD934C576583EB1E">
    <w:name w:val="072626B2012F49C9BD934C576583EB1E"/>
  </w:style>
  <w:style w:type="paragraph" w:customStyle="1" w:styleId="1DE03F9B4B764281807F278BA760CF20">
    <w:name w:val="1DE03F9B4B764281807F278BA760CF20"/>
  </w:style>
  <w:style w:type="paragraph" w:customStyle="1" w:styleId="B010AB99848041EEB37C448B992AEAE2">
    <w:name w:val="B010AB99848041EEB37C448B992AEAE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CA02AB09E568475F8DFED19BE08224CF">
    <w:name w:val="CA02AB09E568475F8DFED19BE08224CF"/>
  </w:style>
  <w:style w:type="paragraph" w:customStyle="1" w:styleId="072626B2012F49C9BD934C576583EB1E">
    <w:name w:val="072626B2012F49C9BD934C576583EB1E"/>
  </w:style>
  <w:style w:type="paragraph" w:customStyle="1" w:styleId="1DE03F9B4B764281807F278BA760CF20">
    <w:name w:val="1DE03F9B4B764281807F278BA760CF20"/>
  </w:style>
  <w:style w:type="paragraph" w:customStyle="1" w:styleId="B010AB99848041EEB37C448B992AEAE2">
    <w:name w:val="B010AB99848041EEB37C448B992AEA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Entrega e Suporte</TermName>
          <TermId>7e29569f-85f2-412b-a181-772d616b5f67</TermId>
        </TermInfo>
      </Terms>
    </Cadeia_x0020_de_x0020_ProcessosTaxHTField0>
    <Emitente xmlns="f26919fd-1615-4d88-839c-06ef217dfe47">
      <UserInfo>
        <DisplayName>CARLOS IUKIO KIDA</DisplayName>
        <AccountId>5100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8</Tipo_x0020_de_x0020_Documento>
    <Aprovadores xmlns="f26919fd-1615-4d88-839c-06ef217dfe47">
      <UserInfo>
        <DisplayName>NATURABR\BR90075</DisplayName>
        <AccountId>1950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138</Value>
    </Pastas_x0020_de_x0020_Distribui_x00e7__x00e3_o>
    <Digitador xmlns="f26919fd-1615-4d88-839c-06ef217dfe47">
      <UserInfo>
        <DisplayName>CARLOS IUKIO KIDA</DisplayName>
        <AccountId>5100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183</Value>
    </TaxCatchAll>
    <C_x00f3_digo xmlns="f26919fd-1615-4d88-839c-06ef217dfe47">NM-1781</C_x00f3_digo>
    <Site xmlns="f26919fd-1615-4d88-839c-06ef217dfe47">Brasil</Site>
    <Data_x0020_de_x0020_Vencimento xmlns="f26919fd-1615-4d88-839c-06ef217dfe47">2017-01-13T14:12:33+00:00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2015-01-13T14:12:33+00:00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Norma" ma:contentTypeID="0x010100F37F254FA7F1B441BA940AA415C1E05500CDC33227B620414F99859DFAD1BBFB88" ma:contentTypeVersion="22" ma:contentTypeDescription="" ma:contentTypeScope="" ma:versionID="5a226366af360129f8fec0a6456676a0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schemas.openxmlformats.org/package/2006/metadata/core-properties"/>
    <ds:schemaRef ds:uri="http://purl.org/dc/dcmitype/"/>
    <ds:schemaRef ds:uri="f26919fd-1615-4d88-839c-06ef217dfe47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121446a2-a8cc-47de-862f-9881eb6a8671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EF2DE251-CA01-4927-BC56-1D8EEF0A4F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Port_Modelo_NM.dotx</Template>
  <TotalTime>1</TotalTime>
  <Pages>3</Pages>
  <Words>999</Words>
  <Characters>5400</Characters>
  <Application>Microsoft Office Word</Application>
  <DocSecurity>4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Entrega de Serviços</vt:lpstr>
      <vt:lpstr/>
    </vt:vector>
  </TitlesOfParts>
  <Company>Natura</Company>
  <LinksUpToDate>false</LinksUpToDate>
  <CharactersWithSpaces>6387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de Serviços</dc:title>
  <dc:creator>CARLOS IUKIO KIDA</dc:creator>
  <cp:lastModifiedBy>mvmarque</cp:lastModifiedBy>
  <cp:revision>2</cp:revision>
  <dcterms:created xsi:type="dcterms:W3CDTF">2015-06-09T20:43:00Z</dcterms:created>
  <dcterms:modified xsi:type="dcterms:W3CDTF">2015-06-09T20:43:00Z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0x010100F37F254FA7F1B441BA940AA415C1E05500CDC33227B620414F99859DFAD1BBFB88</vt:lpwstr>
  </property>
  <property fmtid="{D5CDD505-2E9C-101B-9397-08002B2CF9AE}" pid="3" name="Cadeia de Processos">
    <vt:lpwstr>183;#Entrega e Suporte|7e29569f-85f2-412b-a181-772d616b5f67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13/01/2015 12:12:33: Ajustes das referências de documentos.</vt:lpwstr>
  </property>
  <property fmtid="{D5CDD505-2E9C-101B-9397-08002B2CF9AE}" pid="7" name="WorkflowChangePath">
    <vt:lpwstr>b81220e9-78b4-4273-b219-e30eb124979f,2;b81220e9-78b4-4273-b219-e30eb124979f,6;b81220e9-78b4-4273-b219-e30eb124979f,8;</vt:lpwstr>
  </property>
</Properties>
</file>