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F90" w:rsidRPr="00147755" w:rsidRDefault="00BD5F90" w:rsidP="00BD5F90">
      <w:pPr>
        <w:ind w:left="142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rFonts w:asciiTheme="minorHAnsi" w:hAnsiTheme="minorHAnsi" w:cstheme="minorHAnsi"/>
          <w:noProof/>
          <w:sz w:val="16"/>
          <w:szCs w:val="16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F05E1F" wp14:editId="4B579DD5">
                <wp:simplePos x="0" y="0"/>
                <wp:positionH relativeFrom="column">
                  <wp:posOffset>443230</wp:posOffset>
                </wp:positionH>
                <wp:positionV relativeFrom="paragraph">
                  <wp:posOffset>86360</wp:posOffset>
                </wp:positionV>
                <wp:extent cx="1800000" cy="234315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3431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180F55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FLUXO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F05E1F" id="_x0000_t202" coordsize="21600,21600" o:spt="202" path="m,l,21600r21600,l21600,xe">
                <v:stroke joinstyle="miter"/>
                <v:path gradientshapeok="t" o:connecttype="rect"/>
              </v:shapetype>
              <v:shape id="Caixa de texto 6" o:spid="_x0000_s1026" type="#_x0000_t202" style="position:absolute;left:0;text-align:left;margin-left:34.9pt;margin-top:6.8pt;width:141.75pt;height:18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" fillcolor="#ffc000" stroked="f">
                <v:fill color2="#fff2cc" angle="45" focus="100%" type="gradient"/>
                <v:textbox>
                  <w:txbxContent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180F55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FLUXO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791678" w:rsidRDefault="00791678" w:rsidP="00791678">
      <w:pPr>
        <w:spacing w:line="264" w:lineRule="auto"/>
        <w:rPr>
          <w:rFonts w:asciiTheme="minorHAnsi" w:hAnsiTheme="minorHAnsi" w:cstheme="minorHAnsi"/>
          <w:sz w:val="16"/>
          <w:szCs w:val="16"/>
          <w:lang w:val="pt-BR"/>
        </w:rPr>
      </w:pPr>
    </w:p>
    <w:p w:rsidR="00BD5F90" w:rsidRPr="00147755" w:rsidRDefault="00791678" w:rsidP="00791678">
      <w:pPr>
        <w:spacing w:line="264" w:lineRule="auto"/>
        <w:rPr>
          <w:rFonts w:asciiTheme="minorHAnsi" w:hAnsiTheme="minorHAnsi" w:cstheme="minorHAnsi"/>
          <w:sz w:val="16"/>
          <w:szCs w:val="16"/>
          <w:lang w:val="pt-BR"/>
        </w:rPr>
      </w:pPr>
      <w:bookmarkStart w:id="0" w:name="_GoBack"/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drawing>
          <wp:inline distT="0" distB="0" distL="0" distR="0">
            <wp:extent cx="2887980" cy="1699260"/>
            <wp:effectExtent l="0" t="0" r="762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98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FABF8F"/>
          <w:left w:val="single" w:sz="4" w:space="0" w:color="FABF8F"/>
          <w:bottom w:val="single" w:sz="4" w:space="0" w:color="FABF8F"/>
          <w:right w:val="single" w:sz="4" w:space="0" w:color="FABF8F"/>
          <w:insideH w:val="single" w:sz="4" w:space="0" w:color="FABF8F"/>
          <w:insideV w:val="single" w:sz="4" w:space="0" w:color="FABF8F"/>
        </w:tblBorders>
        <w:tblLook w:val="04A0" w:firstRow="1" w:lastRow="0" w:firstColumn="1" w:lastColumn="0" w:noHBand="0" w:noVBand="1"/>
      </w:tblPr>
      <w:tblGrid>
        <w:gridCol w:w="1525"/>
        <w:gridCol w:w="3023"/>
      </w:tblGrid>
      <w:tr w:rsidR="00BD5F90" w:rsidRPr="00147755" w:rsidTr="00181867">
        <w:tc>
          <w:tcPr>
            <w:tcW w:w="1525" w:type="dxa"/>
            <w:tcBorders>
              <w:top w:val="single" w:sz="4" w:space="0" w:color="F79646"/>
              <w:left w:val="single" w:sz="4" w:space="0" w:color="F79646"/>
              <w:bottom w:val="single" w:sz="4" w:space="0" w:color="F79646"/>
              <w:right w:val="nil"/>
            </w:tcBorders>
            <w:shd w:val="clear" w:color="auto" w:fill="F79646"/>
            <w:vAlign w:val="center"/>
          </w:tcPr>
          <w:bookmarkEnd w:id="0"/>
          <w:p w:rsidR="00BD5F90" w:rsidRPr="00260717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260717"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  <w:t>Atividade</w:t>
            </w:r>
            <w:proofErr w:type="spellEnd"/>
          </w:p>
        </w:tc>
        <w:tc>
          <w:tcPr>
            <w:tcW w:w="3023" w:type="dxa"/>
            <w:tcBorders>
              <w:top w:val="single" w:sz="4" w:space="0" w:color="F79646"/>
              <w:left w:val="nil"/>
              <w:bottom w:val="single" w:sz="4" w:space="0" w:color="F79646"/>
              <w:right w:val="single" w:sz="4" w:space="0" w:color="F79646"/>
            </w:tcBorders>
            <w:shd w:val="clear" w:color="auto" w:fill="F79646"/>
            <w:vAlign w:val="center"/>
          </w:tcPr>
          <w:p w:rsidR="00BD5F90" w:rsidRPr="00260717" w:rsidRDefault="00BD5F90" w:rsidP="00181867">
            <w:pPr>
              <w:spacing w:line="312" w:lineRule="auto"/>
              <w:jc w:val="center"/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</w:pPr>
            <w:proofErr w:type="spellStart"/>
            <w:r w:rsidRPr="00260717">
              <w:rPr>
                <w:rFonts w:asciiTheme="minorHAnsi" w:eastAsia="Calibri" w:hAnsiTheme="minorHAnsi" w:cstheme="minorHAnsi"/>
                <w:b/>
                <w:bCs/>
                <w:color w:val="FFFFFF"/>
                <w:sz w:val="20"/>
                <w:szCs w:val="20"/>
              </w:rPr>
              <w:t>Descrição</w:t>
            </w:r>
            <w:proofErr w:type="spellEnd"/>
          </w:p>
        </w:tc>
      </w:tr>
      <w:tr w:rsidR="00260717" w:rsidRPr="00147755" w:rsidTr="00FA7E54">
        <w:tc>
          <w:tcPr>
            <w:tcW w:w="1525" w:type="dxa"/>
            <w:shd w:val="clear" w:color="auto" w:fill="FDE9D9"/>
            <w:vAlign w:val="center"/>
          </w:tcPr>
          <w:p w:rsidR="00260717" w:rsidRPr="00260717" w:rsidRDefault="00260717" w:rsidP="0026071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Verificar se o serviço crítico está disponível</w:t>
            </w:r>
          </w:p>
        </w:tc>
        <w:tc>
          <w:tcPr>
            <w:tcW w:w="3023" w:type="dxa"/>
            <w:shd w:val="clear" w:color="auto" w:fill="FDE9D9"/>
          </w:tcPr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A ferramenta verifica automaticamente se tem algum serviço crítico indisponível.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Caso o serviço esteja indisponível, a ferramenta abre automaticamente para a respectiva equipe.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</w:tr>
      <w:tr w:rsidR="00260717" w:rsidRPr="00147755" w:rsidTr="00FA7E54">
        <w:tc>
          <w:tcPr>
            <w:tcW w:w="1525" w:type="dxa"/>
            <w:shd w:val="clear" w:color="auto" w:fill="auto"/>
            <w:vAlign w:val="center"/>
          </w:tcPr>
          <w:p w:rsidR="00260717" w:rsidRPr="00260717" w:rsidRDefault="00260717" w:rsidP="0026071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Abrir incidente para Operações</w:t>
            </w:r>
          </w:p>
        </w:tc>
        <w:tc>
          <w:tcPr>
            <w:tcW w:w="3023" w:type="dxa"/>
            <w:shd w:val="clear" w:color="auto" w:fill="auto"/>
          </w:tcPr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A ferramenta abre automaticamente um incidente para a área de Operações de TI, caso o erro seja relacionado a um sistema.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</w:tr>
      <w:tr w:rsidR="00260717" w:rsidRPr="00147755" w:rsidTr="00FA7E54">
        <w:tc>
          <w:tcPr>
            <w:tcW w:w="1525" w:type="dxa"/>
            <w:shd w:val="clear" w:color="auto" w:fill="FDE9D9"/>
            <w:vAlign w:val="center"/>
          </w:tcPr>
          <w:p w:rsidR="00260717" w:rsidRPr="00260717" w:rsidRDefault="00260717" w:rsidP="0026071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Abrir incidente para Infraestrutura</w:t>
            </w:r>
          </w:p>
        </w:tc>
        <w:tc>
          <w:tcPr>
            <w:tcW w:w="3023" w:type="dxa"/>
            <w:shd w:val="clear" w:color="auto" w:fill="FDE9D9"/>
          </w:tcPr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A ferramenta abre automaticamente um incidente para a área de Infraestrutura, caso o erro não seja relacionado a um sistema.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</w:tr>
      <w:tr w:rsidR="00260717" w:rsidRPr="00147755" w:rsidTr="00FA7E54">
        <w:tc>
          <w:tcPr>
            <w:tcW w:w="1525" w:type="dxa"/>
            <w:shd w:val="clear" w:color="auto" w:fill="auto"/>
            <w:vAlign w:val="center"/>
          </w:tcPr>
          <w:p w:rsidR="00260717" w:rsidRPr="00260717" w:rsidRDefault="00260717" w:rsidP="0026071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Verificar o incidente</w:t>
            </w:r>
          </w:p>
        </w:tc>
        <w:tc>
          <w:tcPr>
            <w:tcW w:w="3023" w:type="dxa"/>
            <w:shd w:val="clear" w:color="auto" w:fill="auto"/>
          </w:tcPr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A área de Infraestrutura verifica o incidente aberto automaticamente.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</w:tr>
      <w:tr w:rsidR="00260717" w:rsidRPr="00147755" w:rsidTr="00FA7E54">
        <w:tc>
          <w:tcPr>
            <w:tcW w:w="1525" w:type="dxa"/>
            <w:shd w:val="clear" w:color="auto" w:fill="FDE9D9"/>
            <w:vAlign w:val="center"/>
          </w:tcPr>
          <w:p w:rsidR="00260717" w:rsidRPr="00260717" w:rsidRDefault="00260717" w:rsidP="0026071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Verificar o incidente</w:t>
            </w:r>
          </w:p>
        </w:tc>
        <w:tc>
          <w:tcPr>
            <w:tcW w:w="3023" w:type="dxa"/>
            <w:shd w:val="clear" w:color="auto" w:fill="FDE9D9"/>
          </w:tcPr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A área de Operações de TI verifica o incidente aberto automaticamente.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</w:tr>
      <w:tr w:rsidR="00260717" w:rsidRPr="00147755" w:rsidTr="00FA7E54">
        <w:tc>
          <w:tcPr>
            <w:tcW w:w="1525" w:type="dxa"/>
            <w:shd w:val="clear" w:color="auto" w:fill="auto"/>
            <w:vAlign w:val="center"/>
          </w:tcPr>
          <w:p w:rsidR="00260717" w:rsidRPr="00260717" w:rsidRDefault="00260717" w:rsidP="0026071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Resolver o incidente</w:t>
            </w:r>
          </w:p>
        </w:tc>
        <w:tc>
          <w:tcPr>
            <w:tcW w:w="3023" w:type="dxa"/>
            <w:shd w:val="clear" w:color="auto" w:fill="auto"/>
          </w:tcPr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A área de Infraestrutura deve resolver o chamado aberto na ferramenta </w:t>
            </w:r>
            <w:proofErr w:type="spellStart"/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Jira</w:t>
            </w:r>
            <w:proofErr w:type="spellEnd"/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Vale ressaltar, que deve executar conforme o processo de Gerenciamento de Incidentes de TI.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</w:tr>
      <w:tr w:rsidR="00260717" w:rsidRPr="00147755" w:rsidTr="00FA7E54">
        <w:tc>
          <w:tcPr>
            <w:tcW w:w="1525" w:type="dxa"/>
            <w:shd w:val="clear" w:color="auto" w:fill="auto"/>
            <w:vAlign w:val="center"/>
          </w:tcPr>
          <w:p w:rsidR="00260717" w:rsidRPr="00260717" w:rsidRDefault="00260717" w:rsidP="00260717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Resolver o incidente</w:t>
            </w:r>
          </w:p>
        </w:tc>
        <w:tc>
          <w:tcPr>
            <w:tcW w:w="3023" w:type="dxa"/>
            <w:shd w:val="clear" w:color="auto" w:fill="auto"/>
          </w:tcPr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 xml:space="preserve">A área de Operações de TI deve resolver o chamado aberto na ferramenta </w:t>
            </w:r>
            <w:proofErr w:type="spellStart"/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Jira</w:t>
            </w:r>
            <w:proofErr w:type="spellEnd"/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  <w:r w:rsidRPr="00260717">
              <w:rPr>
                <w:rFonts w:asciiTheme="minorHAnsi" w:hAnsiTheme="minorHAnsi" w:cstheme="minorHAnsi"/>
                <w:sz w:val="20"/>
                <w:szCs w:val="20"/>
                <w:lang w:val="pt-BR"/>
              </w:rPr>
              <w:t>Vale ressaltar, que deve executar conforme o processo de Gerenciamento de Incidentes de TI.</w:t>
            </w:r>
          </w:p>
          <w:p w:rsidR="00260717" w:rsidRPr="00260717" w:rsidRDefault="00260717" w:rsidP="00260717">
            <w:pPr>
              <w:jc w:val="both"/>
              <w:rPr>
                <w:rFonts w:asciiTheme="minorHAnsi" w:hAnsiTheme="minorHAnsi" w:cstheme="minorHAnsi"/>
                <w:sz w:val="20"/>
                <w:szCs w:val="20"/>
                <w:lang w:val="pt-BR"/>
              </w:rPr>
            </w:pPr>
          </w:p>
        </w:tc>
      </w:tr>
    </w:tbl>
    <w:p w:rsidR="007C4E1A" w:rsidRDefault="007C4E1A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16"/>
          <w:szCs w:val="16"/>
          <w:lang w:val="pt-BR"/>
        </w:rPr>
      </w:pPr>
    </w:p>
    <w:p w:rsidR="00BD5F90" w:rsidRPr="00260717" w:rsidRDefault="00E75905" w:rsidP="00147755">
      <w:pPr>
        <w:spacing w:line="264" w:lineRule="auto"/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</w:pPr>
      <w:r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Para m</w:t>
      </w:r>
      <w:r w:rsidR="00154D84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 xml:space="preserve">aiores detalhes, acesse </w:t>
      </w:r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 xml:space="preserve">o </w:t>
      </w:r>
      <w:proofErr w:type="spellStart"/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Confluence</w:t>
      </w:r>
      <w:proofErr w:type="spellEnd"/>
      <w:r w:rsidR="00261016" w:rsidRPr="00260717">
        <w:rPr>
          <w:rFonts w:asciiTheme="minorHAnsi" w:hAnsiTheme="minorHAnsi" w:cstheme="minorHAnsi"/>
          <w:color w:val="ED7D31" w:themeColor="accent2"/>
          <w:sz w:val="20"/>
          <w:szCs w:val="16"/>
          <w:lang w:val="pt-BR"/>
        </w:rPr>
        <w:t>.</w:t>
      </w:r>
    </w:p>
    <w:p w:rsidR="00261016" w:rsidRPr="00147755" w:rsidRDefault="0026101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073878" w:rsidRDefault="00073878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260717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543362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sz w:val="16"/>
          <w:szCs w:val="16"/>
          <w:lang w:val="pt-BR" w:eastAsia="pt-B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left:0;text-align:left;margin-left:75.6pt;margin-top:11.75pt;width:87.75pt;height:39pt;z-index:251664384">
            <v:imagedata r:id="rId8" o:title=""/>
          </v:shape>
          <o:OLEObject Type="Embed" ProgID="PBrush" ShapeID="_x0000_s1031" DrawAspect="Content" ObjectID="_1543825743" r:id="rId9"/>
        </w:object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</w:pPr>
      <w:r w:rsidRPr="00147755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 xml:space="preserve">Gerenciamento de </w:t>
      </w:r>
      <w:r w:rsidR="00B340FC">
        <w:rPr>
          <w:rFonts w:asciiTheme="minorHAnsi" w:hAnsiTheme="minorHAnsi" w:cstheme="minorHAnsi"/>
          <w:b/>
          <w:color w:val="ED7D31" w:themeColor="accent2"/>
          <w:sz w:val="28"/>
          <w:szCs w:val="28"/>
          <w:lang w:val="pt-BR"/>
        </w:rPr>
        <w:t>Desempenho e Capacidade</w:t>
      </w:r>
    </w:p>
    <w:p w:rsidR="00BD5F90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  <w:r>
        <w:rPr>
          <w:rFonts w:asciiTheme="minorHAnsi" w:hAnsiTheme="minorHAnsi" w:cstheme="minorHAnsi"/>
          <w:noProof/>
          <w:color w:val="0070C0"/>
          <w:sz w:val="28"/>
          <w:szCs w:val="28"/>
          <w:lang w:val="pt-BR" w:eastAsia="pt-BR"/>
        </w:rPr>
        <w:drawing>
          <wp:inline distT="0" distB="0" distL="0" distR="0">
            <wp:extent cx="2729773" cy="20383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111" cy="20408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166A56" w:rsidRPr="00147755" w:rsidRDefault="00166A56" w:rsidP="00BD5F90">
      <w:pPr>
        <w:spacing w:line="264" w:lineRule="auto"/>
        <w:jc w:val="center"/>
        <w:rPr>
          <w:rFonts w:asciiTheme="minorHAnsi" w:hAnsiTheme="minorHAnsi" w:cstheme="minorHAnsi"/>
          <w:color w:val="0070C0"/>
          <w:sz w:val="28"/>
          <w:szCs w:val="28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260717" w:rsidRPr="00147755" w:rsidRDefault="00260717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366AF2" w:rsidRPr="00147755" w:rsidRDefault="00366AF2" w:rsidP="00BD5F90">
      <w:pPr>
        <w:spacing w:line="264" w:lineRule="auto"/>
        <w:jc w:val="center"/>
        <w:rPr>
          <w:rFonts w:asciiTheme="minorHAnsi" w:hAnsiTheme="minorHAnsi" w:cstheme="minorHAnsi"/>
          <w:color w:val="1F497D"/>
          <w:sz w:val="20"/>
          <w:szCs w:val="20"/>
          <w:lang w:val="pt-BR"/>
        </w:rPr>
      </w:pPr>
    </w:p>
    <w:p w:rsidR="00BD5F90" w:rsidRP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b/>
          <w:color w:val="ED7D31"/>
          <w:sz w:val="18"/>
          <w:szCs w:val="20"/>
          <w:lang w:val="pt-BR"/>
        </w:rPr>
      </w:pPr>
      <w:r w:rsidRPr="00147755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 xml:space="preserve">Gerência de </w:t>
      </w:r>
      <w:r w:rsidR="00A42521">
        <w:rPr>
          <w:rFonts w:asciiTheme="minorHAnsi" w:hAnsiTheme="minorHAnsi" w:cstheme="minorHAnsi"/>
          <w:b/>
          <w:color w:val="ED7D31"/>
          <w:sz w:val="20"/>
          <w:szCs w:val="20"/>
          <w:lang w:val="pt-BR"/>
        </w:rPr>
        <w:t>Governança de TI</w:t>
      </w:r>
    </w:p>
    <w:p w:rsidR="00147755" w:rsidRDefault="00BD5F90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Guia Rápido da </w:t>
      </w:r>
      <w:r w:rsidR="00B340FC">
        <w:rPr>
          <w:rFonts w:asciiTheme="minorHAnsi" w:hAnsiTheme="minorHAnsi" w:cstheme="minorHAnsi"/>
          <w:color w:val="ED7D31"/>
          <w:sz w:val="12"/>
          <w:szCs w:val="20"/>
          <w:lang w:val="pt-BR"/>
        </w:rPr>
        <w:t>Gerenciamento de Desempenho e Capacidade</w:t>
      </w: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</w:p>
    <w:p w:rsidR="00BD5F90" w:rsidRPr="00147755" w:rsidRDefault="00476ED2" w:rsidP="00BD5F90">
      <w:pPr>
        <w:spacing w:line="264" w:lineRule="auto"/>
        <w:jc w:val="center"/>
        <w:rPr>
          <w:rFonts w:asciiTheme="minorHAnsi" w:hAnsiTheme="minorHAnsi" w:cstheme="minorHAnsi"/>
          <w:color w:val="ED7D31"/>
          <w:sz w:val="12"/>
          <w:szCs w:val="20"/>
          <w:lang w:val="pt-BR"/>
        </w:rPr>
      </w:pPr>
      <w:r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Versão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01</w:t>
      </w:r>
      <w:r w:rsidR="00187DE7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–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 xml:space="preserve"> </w:t>
      </w:r>
      <w:r w:rsidR="00B340FC">
        <w:rPr>
          <w:rFonts w:asciiTheme="minorHAnsi" w:hAnsiTheme="minorHAnsi" w:cstheme="minorHAnsi"/>
          <w:color w:val="ED7D31"/>
          <w:sz w:val="12"/>
          <w:szCs w:val="20"/>
          <w:lang w:val="pt-BR"/>
        </w:rPr>
        <w:t>Dez</w:t>
      </w:r>
      <w:r w:rsidR="00E72FB0">
        <w:rPr>
          <w:rFonts w:asciiTheme="minorHAnsi" w:hAnsiTheme="minorHAnsi" w:cstheme="minorHAnsi"/>
          <w:color w:val="ED7D31"/>
          <w:sz w:val="12"/>
          <w:szCs w:val="20"/>
          <w:lang w:val="pt-BR"/>
        </w:rPr>
        <w:t>/</w:t>
      </w:r>
      <w:r w:rsidR="00BD5F90" w:rsidRPr="00147755">
        <w:rPr>
          <w:rFonts w:asciiTheme="minorHAnsi" w:hAnsiTheme="minorHAnsi" w:cstheme="minorHAnsi"/>
          <w:color w:val="ED7D31"/>
          <w:sz w:val="12"/>
          <w:szCs w:val="20"/>
          <w:lang w:val="pt-BR"/>
        </w:rPr>
        <w:t>2016</w:t>
      </w:r>
    </w:p>
    <w:p w:rsidR="00BD5F90" w:rsidRPr="00147755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  <w:r w:rsidRPr="00147755">
        <w:rPr>
          <w:rFonts w:asciiTheme="minorHAnsi" w:hAnsiTheme="minorHAnsi" w:cstheme="minorHAnsi"/>
          <w:noProof/>
          <w:lang w:val="pt-BR"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68484" wp14:editId="1A96A767">
                <wp:simplePos x="0" y="0"/>
                <wp:positionH relativeFrom="column">
                  <wp:posOffset>624456</wp:posOffset>
                </wp:positionH>
                <wp:positionV relativeFrom="paragraph">
                  <wp:posOffset>-41683</wp:posOffset>
                </wp:positionV>
                <wp:extent cx="1800000" cy="226695"/>
                <wp:effectExtent l="0" t="0" r="0" b="1905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OBJETIVO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68484" id="Caixa de texto 5" o:spid="_x0000_s1027" type="#_x0000_t202" style="position:absolute;left:0;text-align:left;margin-left:49.15pt;margin-top:-3.3pt;width:141.75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" fillcolor="#ffc000" stroked="f" strokecolor="#ed7d31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OBJETIVO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147755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B340FC" w:rsidRPr="00260717" w:rsidRDefault="00B340FC" w:rsidP="00B340FC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Este processo tem como objetivo gerenciar o desempenho e capacidade dos recursos de TI realizar análises críticas periódicas do desempenho e da capacidade atuais dos recursos de TI.</w:t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ab/>
      </w:r>
    </w:p>
    <w:p w:rsidR="00993415" w:rsidRPr="00260717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A0E007" wp14:editId="56BF3C91">
                <wp:simplePos x="0" y="0"/>
                <wp:positionH relativeFrom="column">
                  <wp:posOffset>653044</wp:posOffset>
                </wp:positionH>
                <wp:positionV relativeFrom="paragraph">
                  <wp:posOffset>19050</wp:posOffset>
                </wp:positionV>
                <wp:extent cx="1800000" cy="226695"/>
                <wp:effectExtent l="0" t="0" r="0" b="1905"/>
                <wp:wrapNone/>
                <wp:docPr id="4" name="Caixa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0E3A3D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0E3A3D"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ESCOPO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A0E007" id="Caixa de texto 4" o:spid="_x0000_s1028" type="#_x0000_t202" style="position:absolute;left:0;text-align:left;margin-left:51.4pt;margin-top:1.5pt;width:141.75pt;height:17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" fillcolor="#ffc000" stroked="f">
                <v:fill color2="#fff2cc" angle="45" focus="100%" type="gradient"/>
                <v:textbox>
                  <w:txbxContent>
                    <w:p w:rsidR="00BD5F90" w:rsidRPr="000E3A3D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 w:rsidRPr="000E3A3D"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ESCOPO</w:t>
                      </w: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4" w:space="1" w:color="auto"/>
        </w:pBd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O processo tem como escopo realizar o acompanhamento do desempenho e capacidade dos serviços ou sistemas críticos para o negócio da </w:t>
      </w:r>
      <w:proofErr w:type="spellStart"/>
      <w:r w:rsidRPr="00260717">
        <w:rPr>
          <w:rFonts w:asciiTheme="minorHAnsi" w:hAnsiTheme="minorHAnsi" w:cstheme="minorHAnsi"/>
          <w:sz w:val="20"/>
          <w:szCs w:val="20"/>
          <w:lang w:val="pt-BR"/>
        </w:rPr>
        <w:t>Smiles</w:t>
      </w:r>
      <w:proofErr w:type="spellEnd"/>
      <w:r w:rsidRPr="00260717">
        <w:rPr>
          <w:rFonts w:asciiTheme="minorHAnsi" w:hAnsiTheme="minorHAnsi" w:cstheme="minorHAnsi"/>
          <w:sz w:val="20"/>
          <w:szCs w:val="20"/>
          <w:lang w:val="pt-BR"/>
        </w:rPr>
        <w:t>.</w:t>
      </w:r>
    </w:p>
    <w:p w:rsidR="00B340FC" w:rsidRPr="00260717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Vale ressaltar, que todo o gerenciamento, acompanhamento e manutenção dos serviços de TI relacionados ao Datacenter da Oracle, Datacenter da </w:t>
      </w:r>
      <w:proofErr w:type="spellStart"/>
      <w:r w:rsidRPr="00260717">
        <w:rPr>
          <w:rFonts w:asciiTheme="minorHAnsi" w:hAnsiTheme="minorHAnsi" w:cstheme="minorHAnsi"/>
          <w:sz w:val="20"/>
          <w:szCs w:val="20"/>
          <w:lang w:val="pt-BR"/>
        </w:rPr>
        <w:t>Amazon</w:t>
      </w:r>
      <w:proofErr w:type="spellEnd"/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 e links de dados é efetuado pelo próprio fornecedor conforme estabelecido em contrato e executado pelo processo de Gerenciamento de Fornecedores.</w:t>
      </w:r>
    </w:p>
    <w:p w:rsidR="00993415" w:rsidRPr="00260717" w:rsidRDefault="00993415" w:rsidP="00993415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D5F90" w:rsidRPr="00260717" w:rsidRDefault="00BD5F90" w:rsidP="00BD5F90">
      <w:pPr>
        <w:numPr>
          <w:ilvl w:val="0"/>
          <w:numId w:val="1"/>
        </w:numPr>
        <w:spacing w:line="312" w:lineRule="auto"/>
        <w:ind w:left="284" w:hanging="284"/>
        <w:jc w:val="both"/>
        <w:rPr>
          <w:rFonts w:asciiTheme="minorHAnsi" w:hAnsiTheme="minorHAnsi" w:cstheme="minorHAnsi"/>
          <w:vanish/>
          <w:sz w:val="20"/>
          <w:szCs w:val="20"/>
          <w:lang w:val="pt-BR"/>
          <w:specVanish/>
        </w:rPr>
      </w:pPr>
    </w:p>
    <w:p w:rsidR="00BD5F90" w:rsidRPr="00260717" w:rsidRDefault="00BD5F90" w:rsidP="00BD5F90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b/>
          <w:noProof/>
          <w:color w:val="339966"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836038" wp14:editId="280EFA25">
                <wp:simplePos x="0" y="0"/>
                <wp:positionH relativeFrom="column">
                  <wp:posOffset>560418</wp:posOffset>
                </wp:positionH>
                <wp:positionV relativeFrom="paragraph">
                  <wp:posOffset>58468</wp:posOffset>
                </wp:positionV>
                <wp:extent cx="1800000" cy="226695"/>
                <wp:effectExtent l="0" t="0" r="0" b="1905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5F90" w:rsidRPr="00180F55" w:rsidRDefault="00C050A8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DIRETRIZES</w:t>
                            </w:r>
                          </w:p>
                          <w:p w:rsidR="00BD5F90" w:rsidRPr="00180F55" w:rsidRDefault="00BD5F90" w:rsidP="00BD5F90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36038" id="Caixa de texto 2" o:spid="_x0000_s1029" type="#_x0000_t202" style="position:absolute;left:0;text-align:left;margin-left:44.15pt;margin-top:4.6pt;width:141.75pt;height:1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" fillcolor="#ffc000" stroked="f">
                <v:fill color2="#fff2cc" angle="45" focus="100%" type="gradient"/>
                <v:textbox>
                  <w:txbxContent>
                    <w:p w:rsidR="00BD5F90" w:rsidRPr="00180F55" w:rsidRDefault="00C050A8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DIRETRIZES</w:t>
                      </w:r>
                    </w:p>
                    <w:p w:rsidR="00BD5F90" w:rsidRPr="00180F55" w:rsidRDefault="00BD5F90" w:rsidP="00BD5F90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BD5F90" w:rsidRPr="00260717" w:rsidRDefault="00BD5F90" w:rsidP="00BD5F90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D5F90" w:rsidRPr="00260717" w:rsidRDefault="00BD5F90" w:rsidP="00BD5F90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26071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O processo de Gerenciamento de Desempenho e Capacidade possui as seguintes diretrizes:</w:t>
      </w:r>
    </w:p>
    <w:p w:rsidR="00B340FC" w:rsidRPr="00260717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Ferramenta de Monitoração – ferramenta de monitoração oficial da </w:t>
      </w:r>
      <w:proofErr w:type="spellStart"/>
      <w:r w:rsidRPr="00260717">
        <w:rPr>
          <w:rFonts w:asciiTheme="minorHAnsi" w:hAnsiTheme="minorHAnsi" w:cstheme="minorHAnsi"/>
          <w:sz w:val="20"/>
          <w:szCs w:val="20"/>
          <w:lang w:val="pt-BR"/>
        </w:rPr>
        <w:t>Smiles</w:t>
      </w:r>
      <w:proofErr w:type="spellEnd"/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 para abertura de eventos e incidentes do processo de Gerenciamento de Desempenho e Capacidade é o </w:t>
      </w:r>
      <w:proofErr w:type="spellStart"/>
      <w:r w:rsidRPr="00260717">
        <w:rPr>
          <w:rFonts w:asciiTheme="minorHAnsi" w:hAnsiTheme="minorHAnsi" w:cstheme="minorHAnsi"/>
          <w:sz w:val="20"/>
          <w:szCs w:val="20"/>
          <w:lang w:val="pt-BR"/>
        </w:rPr>
        <w:t>Dynatrace</w:t>
      </w:r>
      <w:proofErr w:type="spellEnd"/>
      <w:r w:rsidRPr="00260717">
        <w:rPr>
          <w:rFonts w:asciiTheme="minorHAnsi" w:hAnsiTheme="minorHAnsi" w:cstheme="minorHAnsi"/>
          <w:sz w:val="20"/>
          <w:szCs w:val="20"/>
          <w:lang w:val="pt-BR"/>
        </w:rPr>
        <w:t>.</w:t>
      </w:r>
    </w:p>
    <w:p w:rsidR="00B340FC" w:rsidRPr="00260717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Responsabilidade Ferramenta – a responsabilidade de manter atualizada a ferramenta de monitoração é da área de Infraestrutura.</w:t>
      </w:r>
    </w:p>
    <w:p w:rsidR="00B340FC" w:rsidRPr="00260717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Emissão de Relatórios de Capacidade – A emissão de relatórios de Capacidade dos serviços críticos de TI é realizada pelo fornecedor, conforme definido no processo de Gerenciamento de Fornecedores de Críticos de TI para as respectivas áreas responsáveis na reunião de prestação de contas.</w:t>
      </w:r>
    </w:p>
    <w:p w:rsidR="00B340FC" w:rsidRPr="00260717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Emissão de Relatórios de Disponibilidade – A emissão de relatórios de Disponibilidade dos serviços críticos de TI é realizada pelo fornecedor, conforme definido no processo de Gerenciamento de Fornecedores de Críticos de TI para as respectivas áreas responsáveis na reunião de prestação de contas.</w:t>
      </w:r>
    </w:p>
    <w:p w:rsidR="00B340FC" w:rsidRPr="00260717" w:rsidRDefault="00B340FC" w:rsidP="00B340FC">
      <w:pPr>
        <w:pStyle w:val="PargrafodaLista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260717" w:rsidRDefault="00B340FC" w:rsidP="00B340FC">
      <w:pPr>
        <w:ind w:left="142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09713B" wp14:editId="6949C131">
                <wp:simplePos x="0" y="0"/>
                <wp:positionH relativeFrom="column">
                  <wp:posOffset>573405</wp:posOffset>
                </wp:positionH>
                <wp:positionV relativeFrom="paragraph">
                  <wp:posOffset>81915</wp:posOffset>
                </wp:positionV>
                <wp:extent cx="1800000" cy="226695"/>
                <wp:effectExtent l="0" t="0" r="0" b="1905"/>
                <wp:wrapNone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ED7D3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340FC" w:rsidRPr="000E3A3D" w:rsidRDefault="00B340FC" w:rsidP="00B340FC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INTERFACES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9713B" id="Caixa de texto 3" o:spid="_x0000_s1030" type="#_x0000_t202" style="position:absolute;left:0;text-align:left;margin-left:45.15pt;margin-top:6.45pt;width:141.75pt;height:17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" fillcolor="#ffc000" stroked="f" strokecolor="#ed7d31">
                <v:fill color2="#fff2cc" angle="45" focus="100%" type="gradient"/>
                <v:textbox>
                  <w:txbxContent>
                    <w:p w:rsidR="00B340FC" w:rsidRPr="000E3A3D" w:rsidRDefault="00B340FC" w:rsidP="00B340FC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INTERFACES</w:t>
                      </w:r>
                    </w:p>
                  </w:txbxContent>
                </v:textbox>
              </v:shape>
            </w:pict>
          </mc:Fallback>
        </mc:AlternateContent>
      </w:r>
    </w:p>
    <w:p w:rsidR="00B340FC" w:rsidRPr="00260717" w:rsidRDefault="00B340FC" w:rsidP="00B340FC">
      <w:p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0"/>
          <w:szCs w:val="20"/>
          <w:lang w:val="pt-BR"/>
        </w:rPr>
      </w:pPr>
    </w:p>
    <w:p w:rsidR="00B340FC" w:rsidRPr="00260717" w:rsidRDefault="00B340FC" w:rsidP="00B340FC">
      <w:pPr>
        <w:spacing w:line="120" w:lineRule="auto"/>
        <w:ind w:left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260717" w:rsidRDefault="00260717" w:rsidP="0026071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O Gerenciamento de Desempenho e Capacidade possui interfaces com outros processos de TI, como podem ser vistas nos tópicos abaixo:</w:t>
      </w:r>
    </w:p>
    <w:p w:rsidR="00260717" w:rsidRPr="00260717" w:rsidRDefault="00260717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ab/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ab/>
      </w:r>
    </w:p>
    <w:p w:rsidR="00260717" w:rsidRPr="00260717" w:rsidRDefault="00260717" w:rsidP="00260717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bookmarkStart w:id="1" w:name="_Toc294873022"/>
      <w:bookmarkStart w:id="2" w:name="_Toc468713387"/>
      <w:r w:rsidRPr="00260717">
        <w:rPr>
          <w:rFonts w:asciiTheme="minorHAnsi" w:hAnsiTheme="minorHAnsi" w:cstheme="minorHAnsi"/>
          <w:sz w:val="20"/>
          <w:szCs w:val="20"/>
          <w:lang w:val="pt-BR"/>
        </w:rPr>
        <w:t>Gerenciamento de Mudança</w:t>
      </w:r>
      <w:bookmarkEnd w:id="1"/>
      <w:r w:rsidRPr="00260717">
        <w:rPr>
          <w:rFonts w:asciiTheme="minorHAnsi" w:hAnsiTheme="minorHAnsi" w:cstheme="minorHAnsi"/>
          <w:sz w:val="20"/>
          <w:szCs w:val="20"/>
          <w:lang w:val="pt-BR"/>
        </w:rPr>
        <w:t>s</w:t>
      </w:r>
      <w:bookmarkEnd w:id="2"/>
    </w:p>
    <w:p w:rsidR="00260717" w:rsidRPr="00260717" w:rsidRDefault="00260717" w:rsidP="00260717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Uma entrada para o Gerenciamento de Mudanças são detalhes do regime de manutenção planejada (ex. Frequência, duração e impacto, para componentes que apoiam um serviço de TI). </w:t>
      </w:r>
    </w:p>
    <w:p w:rsidR="00260717" w:rsidRPr="00260717" w:rsidRDefault="00260717" w:rsidP="00260717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O Gerenciamento de Mudanças provê um calendário de mudanças das atividades de manutenção planejadas para componentes de TI detalhando os tempos de serviços de TI que serão impactados.</w:t>
      </w:r>
    </w:p>
    <w:p w:rsidR="00260717" w:rsidRDefault="00260717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Default="00260717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260717" w:rsidRDefault="00260717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260717" w:rsidRDefault="00260717" w:rsidP="00260717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bookmarkStart w:id="3" w:name="_Toc295140893"/>
      <w:bookmarkStart w:id="4" w:name="_Toc464549584"/>
      <w:bookmarkStart w:id="5" w:name="_Toc468713388"/>
      <w:r w:rsidRPr="00260717">
        <w:rPr>
          <w:rFonts w:asciiTheme="minorHAnsi" w:hAnsiTheme="minorHAnsi" w:cstheme="minorHAnsi"/>
          <w:sz w:val="20"/>
          <w:szCs w:val="20"/>
          <w:lang w:val="pt-BR"/>
        </w:rPr>
        <w:t>Gerenciamento de Incidentes</w:t>
      </w:r>
      <w:bookmarkEnd w:id="3"/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 de TI</w:t>
      </w:r>
      <w:bookmarkEnd w:id="4"/>
      <w:bookmarkEnd w:id="5"/>
    </w:p>
    <w:p w:rsidR="00260717" w:rsidRPr="00260717" w:rsidRDefault="00260717" w:rsidP="00260717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O Gerenciamento de Desempenho e Capacidade informa o processo de Gerenciamento de Incidentes de TI sobre os incidentes de desempenho dos sistemas e serviços críticos de TI.</w:t>
      </w:r>
    </w:p>
    <w:p w:rsidR="00260717" w:rsidRPr="00260717" w:rsidRDefault="00260717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260717" w:rsidRDefault="00260717" w:rsidP="00260717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bookmarkStart w:id="6" w:name="_Toc468713389"/>
      <w:r w:rsidRPr="00260717">
        <w:rPr>
          <w:rFonts w:asciiTheme="minorHAnsi" w:hAnsiTheme="minorHAnsi" w:cstheme="minorHAnsi"/>
          <w:sz w:val="20"/>
          <w:szCs w:val="20"/>
          <w:lang w:val="pt-BR"/>
        </w:rPr>
        <w:t>Gerenciamento de Fornecedores Críticos de TI</w:t>
      </w:r>
      <w:bookmarkEnd w:id="6"/>
    </w:p>
    <w:p w:rsidR="00260717" w:rsidRPr="00260717" w:rsidRDefault="00260717" w:rsidP="00260717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A emissão de relatórios de Capacidade dos serviços críticos de TI é realizada pelo fornecedor, conforme definido no processo de Gerenciamento de Fornecedores de Críticos de TI.</w:t>
      </w:r>
    </w:p>
    <w:p w:rsidR="00260717" w:rsidRDefault="00260717" w:rsidP="00260717">
      <w:pPr>
        <w:numPr>
          <w:ilvl w:val="0"/>
          <w:numId w:val="28"/>
        </w:num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>A emissão de relatórios de Disponibilidade dos serviços críticos de TI é realizada pelo fornecedor, conforme definido no processo de Gerenciamento de Fornecedores de Críticos de TI.</w:t>
      </w:r>
    </w:p>
    <w:p w:rsidR="00260717" w:rsidRDefault="00260717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476ED2" w:rsidRDefault="00260717" w:rsidP="00260717">
      <w:pPr>
        <w:pStyle w:val="PargrafodaLista"/>
        <w:jc w:val="both"/>
        <w:rPr>
          <w:rFonts w:asciiTheme="minorHAnsi" w:hAnsiTheme="minorHAnsi" w:cstheme="minorHAnsi"/>
          <w:sz w:val="16"/>
          <w:szCs w:val="16"/>
          <w:lang w:val="pt-BR"/>
        </w:rPr>
      </w:pPr>
      <w:r w:rsidRPr="00147755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D53357" wp14:editId="1D1F67D3">
                <wp:simplePos x="0" y="0"/>
                <wp:positionH relativeFrom="column">
                  <wp:posOffset>536096</wp:posOffset>
                </wp:positionH>
                <wp:positionV relativeFrom="paragraph">
                  <wp:posOffset>68304</wp:posOffset>
                </wp:positionV>
                <wp:extent cx="1800000" cy="226695"/>
                <wp:effectExtent l="0" t="0" r="0" b="1905"/>
                <wp:wrapNone/>
                <wp:docPr id="9" name="Caixa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22669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C000"/>
                            </a:gs>
                            <a:gs pos="100000">
                              <a:srgbClr val="FFC000">
                                <a:gamma/>
                                <a:tint val="20000"/>
                                <a:invGamma/>
                              </a:srgbClr>
                            </a:gs>
                          </a:gsLst>
                          <a:lin ang="270000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0717" w:rsidRPr="00180F55" w:rsidRDefault="00260717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  <w:t>INDICADORES</w:t>
                            </w:r>
                          </w:p>
                          <w:p w:rsidR="00260717" w:rsidRPr="00180F55" w:rsidRDefault="00260717" w:rsidP="00260717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7030A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53357" id="Caixa de texto 9" o:spid="_x0000_s1031" type="#_x0000_t202" style="position:absolute;left:0;text-align:left;margin-left:42.2pt;margin-top:5.4pt;width:141.75pt;height:17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" fillcolor="#ffc000" stroked="f">
                <v:fill color2="#fff2cc" angle="45" focus="100%" type="gradient"/>
                <v:textbox>
                  <w:txbxContent>
                    <w:p w:rsidR="00260717" w:rsidRPr="00180F55" w:rsidRDefault="00260717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  <w:r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  <w:t>INDICADORES</w:t>
                      </w:r>
                    </w:p>
                    <w:p w:rsidR="00260717" w:rsidRPr="00180F55" w:rsidRDefault="00260717" w:rsidP="00260717">
                      <w:pPr>
                        <w:jc w:val="center"/>
                        <w:rPr>
                          <w:rFonts w:ascii="Verdana" w:hAnsi="Verdana"/>
                          <w:b/>
                          <w:color w:val="7030A0"/>
                          <w:sz w:val="20"/>
                          <w:szCs w:val="20"/>
                          <w:lang w:val="pt-B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260717" w:rsidRPr="00476ED2" w:rsidRDefault="00260717" w:rsidP="00260717">
      <w:pPr>
        <w:pStyle w:val="PargrafodaLista"/>
        <w:numPr>
          <w:ilvl w:val="0"/>
          <w:numId w:val="1"/>
        </w:numPr>
        <w:pBdr>
          <w:bottom w:val="single" w:sz="6" w:space="1" w:color="auto"/>
        </w:pBdr>
        <w:spacing w:line="288" w:lineRule="auto"/>
        <w:jc w:val="center"/>
        <w:rPr>
          <w:rFonts w:asciiTheme="minorHAnsi" w:hAnsiTheme="minorHAnsi" w:cstheme="minorHAnsi"/>
          <w:b/>
          <w:color w:val="339966"/>
          <w:sz w:val="22"/>
          <w:szCs w:val="22"/>
          <w:lang w:val="pt-BR"/>
        </w:rPr>
      </w:pPr>
    </w:p>
    <w:p w:rsidR="00260717" w:rsidRDefault="00260717" w:rsidP="00260717">
      <w:pPr>
        <w:pStyle w:val="PargrafodaLista"/>
        <w:spacing w:line="120" w:lineRule="auto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p w:rsidR="00260717" w:rsidRDefault="00260717" w:rsidP="0026071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Para o processo de Gerenciamento </w:t>
      </w:r>
      <w:r w:rsidR="00CD4C07">
        <w:rPr>
          <w:rFonts w:asciiTheme="minorHAnsi" w:hAnsiTheme="minorHAnsi" w:cstheme="minorHAnsi"/>
          <w:sz w:val="20"/>
          <w:szCs w:val="20"/>
          <w:lang w:val="pt-BR"/>
        </w:rPr>
        <w:t>de Desempenho e Capacidade tem definido</w:t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 </w:t>
      </w:r>
      <w:r w:rsidR="00CD4C07">
        <w:rPr>
          <w:rFonts w:asciiTheme="minorHAnsi" w:hAnsiTheme="minorHAnsi" w:cstheme="minorHAnsi"/>
          <w:sz w:val="20"/>
          <w:szCs w:val="20"/>
          <w:lang w:val="pt-BR"/>
        </w:rPr>
        <w:t>um indicador de desempenho, sendo ele</w:t>
      </w:r>
      <w:r w:rsidRPr="00260717">
        <w:rPr>
          <w:rFonts w:asciiTheme="minorHAnsi" w:hAnsiTheme="minorHAnsi" w:cstheme="minorHAnsi"/>
          <w:sz w:val="20"/>
          <w:szCs w:val="20"/>
          <w:lang w:val="pt-BR"/>
        </w:rPr>
        <w:t>:</w:t>
      </w:r>
    </w:p>
    <w:p w:rsidR="00260717" w:rsidRPr="00260717" w:rsidRDefault="00260717" w:rsidP="00260717">
      <w:pPr>
        <w:spacing w:line="288" w:lineRule="auto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Default="00260717" w:rsidP="00260717">
      <w:pPr>
        <w:numPr>
          <w:ilvl w:val="0"/>
          <w:numId w:val="1"/>
        </w:numPr>
        <w:spacing w:line="288" w:lineRule="auto"/>
        <w:ind w:left="144" w:hanging="284"/>
        <w:jc w:val="both"/>
        <w:rPr>
          <w:rFonts w:asciiTheme="minorHAnsi" w:hAnsiTheme="minorHAnsi" w:cstheme="minorHAnsi"/>
          <w:sz w:val="20"/>
          <w:szCs w:val="20"/>
          <w:lang w:val="pt-BR"/>
        </w:rPr>
      </w:pPr>
      <w:proofErr w:type="spellStart"/>
      <w:r w:rsidRPr="00260717">
        <w:rPr>
          <w:rFonts w:asciiTheme="minorHAnsi" w:hAnsiTheme="minorHAnsi" w:cstheme="minorHAnsi"/>
          <w:sz w:val="20"/>
          <w:szCs w:val="20"/>
          <w:lang w:val="pt-BR"/>
        </w:rPr>
        <w:t>Qtd</w:t>
      </w:r>
      <w:proofErr w:type="spellEnd"/>
      <w:r w:rsidRPr="00260717">
        <w:rPr>
          <w:rFonts w:asciiTheme="minorHAnsi" w:hAnsiTheme="minorHAnsi" w:cstheme="minorHAnsi"/>
          <w:sz w:val="20"/>
          <w:szCs w:val="20"/>
          <w:lang w:val="pt-BR"/>
        </w:rPr>
        <w:t xml:space="preserve">. / % de incidentes abertos automaticamente pela ferramenta de monitoração </w:t>
      </w:r>
    </w:p>
    <w:p w:rsidR="00260717" w:rsidRPr="00260717" w:rsidRDefault="00260717" w:rsidP="00260717">
      <w:pPr>
        <w:spacing w:line="288" w:lineRule="auto"/>
        <w:ind w:left="144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260717" w:rsidRPr="00260717" w:rsidRDefault="00260717" w:rsidP="00260717">
      <w:pPr>
        <w:spacing w:line="288" w:lineRule="auto"/>
        <w:ind w:left="360"/>
        <w:jc w:val="both"/>
        <w:rPr>
          <w:rFonts w:asciiTheme="minorHAnsi" w:hAnsiTheme="minorHAnsi" w:cstheme="minorHAnsi"/>
          <w:sz w:val="20"/>
          <w:szCs w:val="20"/>
          <w:lang w:val="pt-BR"/>
        </w:rPr>
      </w:pPr>
    </w:p>
    <w:p w:rsidR="00B340FC" w:rsidRPr="00B340FC" w:rsidRDefault="00B340FC" w:rsidP="00B340FC">
      <w:pPr>
        <w:spacing w:line="288" w:lineRule="auto"/>
        <w:ind w:left="144"/>
        <w:jc w:val="both"/>
        <w:rPr>
          <w:rFonts w:asciiTheme="minorHAnsi" w:hAnsiTheme="minorHAnsi" w:cstheme="minorHAnsi"/>
          <w:sz w:val="16"/>
          <w:szCs w:val="16"/>
          <w:lang w:val="pt-BR"/>
        </w:rPr>
      </w:pPr>
    </w:p>
    <w:sectPr w:rsidR="00B340FC" w:rsidRPr="00B340FC" w:rsidSect="00E37B04">
      <w:headerReference w:type="even" r:id="rId11"/>
      <w:headerReference w:type="default" r:id="rId12"/>
      <w:headerReference w:type="first" r:id="rId13"/>
      <w:pgSz w:w="16840" w:h="11907" w:orient="landscape" w:code="9"/>
      <w:pgMar w:top="680" w:right="862" w:bottom="737" w:left="862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362" w:rsidRDefault="00543362">
      <w:r>
        <w:separator/>
      </w:r>
    </w:p>
  </w:endnote>
  <w:endnote w:type="continuationSeparator" w:id="0">
    <w:p w:rsidR="00543362" w:rsidRDefault="00543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362" w:rsidRDefault="00543362">
      <w:r>
        <w:separator/>
      </w:r>
    </w:p>
  </w:footnote>
  <w:footnote w:type="continuationSeparator" w:id="0">
    <w:p w:rsidR="00543362" w:rsidRDefault="00543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8F" w:rsidRDefault="0054336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7" o:spid="_x0000_s2050" type="#_x0000_t75" style="position:absolute;left:0;text-align:left;margin-left:0;margin-top:0;width:738.05pt;height:523.05pt;z-index:-251656192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8F" w:rsidRDefault="00BD5F90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-547370</wp:posOffset>
          </wp:positionH>
          <wp:positionV relativeFrom="paragraph">
            <wp:posOffset>-466725</wp:posOffset>
          </wp:positionV>
          <wp:extent cx="10687050" cy="7562850"/>
          <wp:effectExtent l="0" t="0" r="0" b="0"/>
          <wp:wrapNone/>
          <wp:docPr id="7" name="Imagem 7" descr="Fundo_Pernambucan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undo_Pernambucan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87050" cy="7562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48F" w:rsidRDefault="00543362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65786" o:spid="_x0000_s2049" type="#_x0000_t75" style="position:absolute;left:0;text-align:left;margin-left:0;margin-top:0;width:738.05pt;height:523.05pt;z-index:-251657216;mso-position-horizontal:center;mso-position-horizontal-relative:margin;mso-position-vertical:center;mso-position-vertical-relative:margin" o:allowincell="f">
          <v:imagedata r:id="rId1" o:title="Marca D Agua_Pernambucan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260E6"/>
    <w:multiLevelType w:val="hybridMultilevel"/>
    <w:tmpl w:val="D3CCF370"/>
    <w:lvl w:ilvl="0" w:tplc="B28E96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B630EA"/>
    <w:multiLevelType w:val="hybridMultilevel"/>
    <w:tmpl w:val="5CCEE78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1C5280E"/>
    <w:multiLevelType w:val="hybridMultilevel"/>
    <w:tmpl w:val="ACE44BC2"/>
    <w:lvl w:ilvl="0" w:tplc="B118822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AAD075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E80ED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B4AAB4C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F6F6DA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FAA19DA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10550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DC0C1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31C61F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4" w15:restartNumberingAfterBreak="0">
    <w:nsid w:val="23DD19B1"/>
    <w:multiLevelType w:val="hybridMultilevel"/>
    <w:tmpl w:val="E86C2B5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5" w15:restartNumberingAfterBreak="0">
    <w:nsid w:val="267218FE"/>
    <w:multiLevelType w:val="hybridMultilevel"/>
    <w:tmpl w:val="FBC8D24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2BC84D58"/>
    <w:multiLevelType w:val="hybridMultilevel"/>
    <w:tmpl w:val="E2487BB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C70F9"/>
    <w:multiLevelType w:val="hybridMultilevel"/>
    <w:tmpl w:val="AD10F0E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-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40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12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</w:abstractNum>
  <w:abstractNum w:abstractNumId="10" w15:restartNumberingAfterBreak="0">
    <w:nsid w:val="3ADA7009"/>
    <w:multiLevelType w:val="hybridMultilevel"/>
    <w:tmpl w:val="C5D28AFA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20D3D46"/>
    <w:multiLevelType w:val="hybridMultilevel"/>
    <w:tmpl w:val="DEDAEC1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25F0728"/>
    <w:multiLevelType w:val="hybridMultilevel"/>
    <w:tmpl w:val="5484DE3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93954"/>
    <w:multiLevelType w:val="hybridMultilevel"/>
    <w:tmpl w:val="F9C2244E"/>
    <w:lvl w:ilvl="0" w:tplc="10D07E2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BA0E3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E08F0C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8807F4A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E0E0AEC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26EDE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820899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370FDA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0C4619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4" w15:restartNumberingAfterBreak="0">
    <w:nsid w:val="478D23E6"/>
    <w:multiLevelType w:val="hybridMultilevel"/>
    <w:tmpl w:val="DB06208E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461CD4"/>
    <w:multiLevelType w:val="hybridMultilevel"/>
    <w:tmpl w:val="601CACB4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024322"/>
    <w:multiLevelType w:val="hybridMultilevel"/>
    <w:tmpl w:val="8F009EEE"/>
    <w:lvl w:ilvl="0" w:tplc="9E4C63A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5C5754A"/>
    <w:multiLevelType w:val="hybridMultilevel"/>
    <w:tmpl w:val="D56E77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1D13C6"/>
    <w:multiLevelType w:val="hybridMultilevel"/>
    <w:tmpl w:val="9044E9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7254E5D"/>
    <w:multiLevelType w:val="hybridMultilevel"/>
    <w:tmpl w:val="FCFAC65C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94D7781"/>
    <w:multiLevelType w:val="hybridMultilevel"/>
    <w:tmpl w:val="BFE68A7E"/>
    <w:lvl w:ilvl="0" w:tplc="0416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  <w:b/>
        <w:color w:val="FFC000"/>
        <w:sz w:val="18"/>
      </w:rPr>
    </w:lvl>
    <w:lvl w:ilvl="1" w:tplc="0416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1" w15:restartNumberingAfterBreak="0">
    <w:nsid w:val="6FF13593"/>
    <w:multiLevelType w:val="hybridMultilevel"/>
    <w:tmpl w:val="1EC0208E"/>
    <w:lvl w:ilvl="0" w:tplc="0416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4775C8E"/>
    <w:multiLevelType w:val="hybridMultilevel"/>
    <w:tmpl w:val="EEB685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7C10076"/>
    <w:multiLevelType w:val="hybridMultilevel"/>
    <w:tmpl w:val="97F87C28"/>
    <w:lvl w:ilvl="0" w:tplc="950428D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FC8D0C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8C0833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652CDDB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8A0FB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68C89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C5CF70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389AE1D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12A8AC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4" w15:restartNumberingAfterBreak="0">
    <w:nsid w:val="78355875"/>
    <w:multiLevelType w:val="hybridMultilevel"/>
    <w:tmpl w:val="B21C522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B30F9"/>
    <w:multiLevelType w:val="hybridMultilevel"/>
    <w:tmpl w:val="FAECFBF0"/>
    <w:lvl w:ilvl="0" w:tplc="C688C2E8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E1700D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E6E85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32AEA0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C76E2E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ECE5D5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360CB2D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7908AD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6D00E30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6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7"/>
  </w:num>
  <w:num w:numId="3">
    <w:abstractNumId w:val="11"/>
  </w:num>
  <w:num w:numId="4">
    <w:abstractNumId w:val="26"/>
  </w:num>
  <w:num w:numId="5">
    <w:abstractNumId w:val="2"/>
  </w:num>
  <w:num w:numId="6">
    <w:abstractNumId w:val="7"/>
  </w:num>
  <w:num w:numId="7">
    <w:abstractNumId w:val="8"/>
  </w:num>
  <w:num w:numId="8">
    <w:abstractNumId w:val="12"/>
  </w:num>
  <w:num w:numId="9">
    <w:abstractNumId w:val="21"/>
  </w:num>
  <w:num w:numId="10">
    <w:abstractNumId w:val="15"/>
  </w:num>
  <w:num w:numId="11">
    <w:abstractNumId w:val="3"/>
  </w:num>
  <w:num w:numId="12">
    <w:abstractNumId w:val="25"/>
  </w:num>
  <w:num w:numId="13">
    <w:abstractNumId w:val="1"/>
  </w:num>
  <w:num w:numId="14">
    <w:abstractNumId w:val="4"/>
  </w:num>
  <w:num w:numId="15">
    <w:abstractNumId w:val="14"/>
  </w:num>
  <w:num w:numId="16">
    <w:abstractNumId w:val="20"/>
  </w:num>
  <w:num w:numId="17">
    <w:abstractNumId w:val="13"/>
  </w:num>
  <w:num w:numId="18">
    <w:abstractNumId w:val="23"/>
  </w:num>
  <w:num w:numId="19">
    <w:abstractNumId w:val="18"/>
  </w:num>
  <w:num w:numId="20">
    <w:abstractNumId w:val="24"/>
  </w:num>
  <w:num w:numId="21">
    <w:abstractNumId w:val="5"/>
  </w:num>
  <w:num w:numId="22">
    <w:abstractNumId w:val="10"/>
  </w:num>
  <w:num w:numId="23">
    <w:abstractNumId w:val="16"/>
  </w:num>
  <w:num w:numId="24">
    <w:abstractNumId w:val="9"/>
  </w:num>
  <w:num w:numId="25">
    <w:abstractNumId w:val="2"/>
  </w:num>
  <w:num w:numId="26">
    <w:abstractNumId w:val="22"/>
  </w:num>
  <w:num w:numId="27">
    <w:abstractNumId w:val="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58F"/>
    <w:rsid w:val="0000501A"/>
    <w:rsid w:val="0000758F"/>
    <w:rsid w:val="00026487"/>
    <w:rsid w:val="00073878"/>
    <w:rsid w:val="00081CDE"/>
    <w:rsid w:val="00091955"/>
    <w:rsid w:val="00145CF0"/>
    <w:rsid w:val="00147755"/>
    <w:rsid w:val="00154D84"/>
    <w:rsid w:val="00166A56"/>
    <w:rsid w:val="00181867"/>
    <w:rsid w:val="00187DE7"/>
    <w:rsid w:val="001F4B51"/>
    <w:rsid w:val="001F65BB"/>
    <w:rsid w:val="002117A7"/>
    <w:rsid w:val="00260717"/>
    <w:rsid w:val="00261016"/>
    <w:rsid w:val="003133E0"/>
    <w:rsid w:val="003216FB"/>
    <w:rsid w:val="003407B1"/>
    <w:rsid w:val="003460EF"/>
    <w:rsid w:val="00366AF2"/>
    <w:rsid w:val="00372132"/>
    <w:rsid w:val="003764A5"/>
    <w:rsid w:val="003B3DA4"/>
    <w:rsid w:val="003D3ED0"/>
    <w:rsid w:val="003D710D"/>
    <w:rsid w:val="003E14B1"/>
    <w:rsid w:val="00455C63"/>
    <w:rsid w:val="004641F4"/>
    <w:rsid w:val="00472FED"/>
    <w:rsid w:val="00476ED2"/>
    <w:rsid w:val="004E1E9E"/>
    <w:rsid w:val="00503B83"/>
    <w:rsid w:val="0050557B"/>
    <w:rsid w:val="0050585D"/>
    <w:rsid w:val="00507E3D"/>
    <w:rsid w:val="00543362"/>
    <w:rsid w:val="00583B9E"/>
    <w:rsid w:val="005928FD"/>
    <w:rsid w:val="005B19CE"/>
    <w:rsid w:val="005C5DD2"/>
    <w:rsid w:val="00611E52"/>
    <w:rsid w:val="00637212"/>
    <w:rsid w:val="006550A9"/>
    <w:rsid w:val="00655EB5"/>
    <w:rsid w:val="00791678"/>
    <w:rsid w:val="007C4E1A"/>
    <w:rsid w:val="007C62F7"/>
    <w:rsid w:val="007D1294"/>
    <w:rsid w:val="007E18B6"/>
    <w:rsid w:val="007E213D"/>
    <w:rsid w:val="007E299B"/>
    <w:rsid w:val="0081384A"/>
    <w:rsid w:val="00824586"/>
    <w:rsid w:val="00875423"/>
    <w:rsid w:val="00883ED6"/>
    <w:rsid w:val="0088483D"/>
    <w:rsid w:val="00884FA9"/>
    <w:rsid w:val="008B6F1E"/>
    <w:rsid w:val="00924F54"/>
    <w:rsid w:val="00955046"/>
    <w:rsid w:val="0095729B"/>
    <w:rsid w:val="00993415"/>
    <w:rsid w:val="009B1CCC"/>
    <w:rsid w:val="009C43E0"/>
    <w:rsid w:val="00A303C8"/>
    <w:rsid w:val="00A42521"/>
    <w:rsid w:val="00A6207C"/>
    <w:rsid w:val="00AA5326"/>
    <w:rsid w:val="00AB2EC7"/>
    <w:rsid w:val="00AB7A14"/>
    <w:rsid w:val="00AF59DC"/>
    <w:rsid w:val="00B340FC"/>
    <w:rsid w:val="00BA2CF1"/>
    <w:rsid w:val="00BD5F90"/>
    <w:rsid w:val="00C050A8"/>
    <w:rsid w:val="00C77A61"/>
    <w:rsid w:val="00CA50AB"/>
    <w:rsid w:val="00CB110D"/>
    <w:rsid w:val="00CD4C07"/>
    <w:rsid w:val="00D244C4"/>
    <w:rsid w:val="00D73434"/>
    <w:rsid w:val="00D816C5"/>
    <w:rsid w:val="00DB033D"/>
    <w:rsid w:val="00DC32BF"/>
    <w:rsid w:val="00DF756A"/>
    <w:rsid w:val="00E06D61"/>
    <w:rsid w:val="00E06FE8"/>
    <w:rsid w:val="00E11988"/>
    <w:rsid w:val="00E1783A"/>
    <w:rsid w:val="00E714C9"/>
    <w:rsid w:val="00E72FB0"/>
    <w:rsid w:val="00E75905"/>
    <w:rsid w:val="00EA6028"/>
    <w:rsid w:val="00EA644A"/>
    <w:rsid w:val="00EB5799"/>
    <w:rsid w:val="00F06B32"/>
    <w:rsid w:val="00F513E2"/>
    <w:rsid w:val="00FA7E54"/>
    <w:rsid w:val="00FC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5C416B46"/>
  <w15:chartTrackingRefBased/>
  <w15:docId w15:val="{B5EFBD17-B3AA-4D81-B487-1FA6D252A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BD5F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260717"/>
    <w:pPr>
      <w:keepNext/>
      <w:widowControl w:val="0"/>
      <w:spacing w:before="120" w:after="60" w:line="240" w:lineRule="atLeast"/>
      <w:outlineLvl w:val="0"/>
    </w:pPr>
    <w:rPr>
      <w:rFonts w:ascii="Arial" w:hAnsi="Arial"/>
      <w:b/>
      <w:bCs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BD5F90"/>
    <w:pPr>
      <w:tabs>
        <w:tab w:val="center" w:pos="4419"/>
        <w:tab w:val="right" w:pos="8838"/>
      </w:tabs>
      <w:jc w:val="both"/>
    </w:pPr>
    <w:rPr>
      <w:rFonts w:ascii="Arial" w:hAnsi="Arial"/>
      <w:sz w:val="20"/>
      <w:szCs w:val="20"/>
      <w:lang w:val="pt-BR" w:eastAsia="pt-BR"/>
    </w:rPr>
  </w:style>
  <w:style w:type="character" w:customStyle="1" w:styleId="CabealhoChar">
    <w:name w:val="Cabeçalho Char"/>
    <w:basedOn w:val="Fontepargpadro"/>
    <w:link w:val="Cabealho"/>
    <w:rsid w:val="00BD5F90"/>
    <w:rPr>
      <w:rFonts w:ascii="Arial" w:eastAsia="Times New Roman" w:hAnsi="Arial" w:cs="Times New Roman"/>
      <w:sz w:val="20"/>
      <w:szCs w:val="20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E06D6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47755"/>
    <w:rPr>
      <w:color w:val="0563C1" w:themeColor="hyperlink"/>
      <w:u w:val="single"/>
    </w:rPr>
  </w:style>
  <w:style w:type="paragraph" w:styleId="Corpodetexto">
    <w:name w:val="Body Text"/>
    <w:basedOn w:val="Normal"/>
    <w:link w:val="CorpodetextoChar"/>
    <w:rsid w:val="00B340FC"/>
    <w:pPr>
      <w:spacing w:before="120"/>
      <w:jc w:val="both"/>
    </w:pPr>
    <w:rPr>
      <w:rFonts w:ascii="Arial" w:hAnsi="Arial" w:cs="Arial"/>
      <w:sz w:val="22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rsid w:val="00B340FC"/>
    <w:rPr>
      <w:rFonts w:ascii="Arial" w:eastAsia="Times New Roman" w:hAnsi="Arial" w:cs="Arial"/>
      <w:szCs w:val="24"/>
      <w:lang w:eastAsia="pt-BR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340FC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260717"/>
    <w:rPr>
      <w:rFonts w:ascii="Arial" w:eastAsia="Times New Roman" w:hAnsi="Arial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1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967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25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1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88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0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80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66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255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6505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319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8384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63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82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4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68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80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48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676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Chacon</cp:lastModifiedBy>
  <cp:revision>4</cp:revision>
  <cp:lastPrinted>2016-09-27T13:58:00Z</cp:lastPrinted>
  <dcterms:created xsi:type="dcterms:W3CDTF">2016-10-07T16:38:00Z</dcterms:created>
  <dcterms:modified xsi:type="dcterms:W3CDTF">2016-12-21T13:43:00Z</dcterms:modified>
</cp:coreProperties>
</file>