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157C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36238">
                  <w:rPr>
                    <w:rFonts w:cs="Arial"/>
                    <w:sz w:val="28"/>
                    <w:szCs w:val="18"/>
                  </w:rPr>
                  <w:t>24/11/2016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BC64A2" w:rsidRDefault="00BC64A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4775"/>
                  <wp:effectExtent l="0" t="0" r="8890" b="317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64A2" w:rsidRDefault="00BC64A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2740"/>
                  <wp:effectExtent l="0" t="0" r="889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8D73EF" w:rsidRDefault="00BC64A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33345"/>
                  <wp:effectExtent l="0" t="0" r="889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3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74204F" w:rsidRDefault="00C160A4" w:rsidP="004815D9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NGC-1919 e NGC-1920 poderão ser encerrados em 24/11.</w:t>
            </w:r>
          </w:p>
          <w:p w:rsidR="00C160A4" w:rsidRPr="00332EBF" w:rsidRDefault="00C160A4" w:rsidP="004815D9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chamado NGC-1892 poderá ser encerrado até 28/11.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0B6484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bookmarkStart w:id="0" w:name="_GoBack"/>
            <w:bookmarkEnd w:id="0"/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0E0F7E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7C2" w:rsidRDefault="002157C2" w:rsidP="00B04E41">
      <w:pPr>
        <w:spacing w:after="0" w:line="240" w:lineRule="auto"/>
      </w:pPr>
      <w:r>
        <w:separator/>
      </w:r>
    </w:p>
  </w:endnote>
  <w:endnote w:type="continuationSeparator" w:id="0">
    <w:p w:rsidR="002157C2" w:rsidRDefault="002157C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F4F6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F4F6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7C2" w:rsidRDefault="002157C2" w:rsidP="00B04E41">
      <w:pPr>
        <w:spacing w:after="0" w:line="240" w:lineRule="auto"/>
      </w:pPr>
      <w:r>
        <w:separator/>
      </w:r>
    </w:p>
  </w:footnote>
  <w:footnote w:type="continuationSeparator" w:id="0">
    <w:p w:rsidR="002157C2" w:rsidRDefault="002157C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3756F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C7346-29B6-4A55-B92A-8ED81E403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268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18</cp:revision>
  <cp:lastPrinted>2016-11-24T14:14:00Z</cp:lastPrinted>
  <dcterms:created xsi:type="dcterms:W3CDTF">2016-11-22T16:55:00Z</dcterms:created>
  <dcterms:modified xsi:type="dcterms:W3CDTF">2016-11-24T14:15:00Z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