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A21" w:rsidRPr="00FC1A21" w:rsidRDefault="00FC1A21" w:rsidP="00FC1A21">
      <w:pPr>
        <w:shd w:val="clear" w:color="auto" w:fill="FFFFFF"/>
        <w:spacing w:after="150" w:line="240" w:lineRule="auto"/>
        <w:outlineLvl w:val="0"/>
        <w:rPr>
          <w:rFonts w:ascii="latobold" w:eastAsia="Times New Roman" w:hAnsi="latobold" w:cs="Times New Roman"/>
          <w:color w:val="759098"/>
          <w:kern w:val="36"/>
          <w:sz w:val="36"/>
          <w:szCs w:val="36"/>
          <w:lang w:eastAsia="pt-BR"/>
        </w:rPr>
      </w:pPr>
      <w:r w:rsidRPr="00FC1A21">
        <w:rPr>
          <w:rFonts w:ascii="latobold" w:eastAsia="Times New Roman" w:hAnsi="latobold" w:cs="Times New Roman"/>
          <w:color w:val="759098"/>
          <w:kern w:val="36"/>
          <w:sz w:val="36"/>
          <w:szCs w:val="36"/>
          <w:lang w:eastAsia="pt-BR"/>
        </w:rPr>
        <w:t>Segregação de funções em seu SGSI de acordo com a ISO 27001 A.6.1.2</w:t>
      </w:r>
    </w:p>
    <w:p w:rsidR="00FC1A21" w:rsidRPr="00FC1A21" w:rsidRDefault="00331193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b/>
          <w:bCs/>
          <w:color w:val="525049"/>
          <w:sz w:val="21"/>
          <w:szCs w:val="21"/>
          <w:lang w:eastAsia="pt-BR"/>
        </w:rPr>
      </w:pPr>
      <w:hyperlink r:id="rId5" w:history="1">
        <w:proofErr w:type="spellStart"/>
        <w:r w:rsidR="00FC1A21" w:rsidRPr="00FC1A21">
          <w:rPr>
            <w:rFonts w:ascii="latoregular" w:eastAsia="Times New Roman" w:hAnsi="latoregular" w:cs="Times New Roman"/>
            <w:b/>
            <w:bCs/>
            <w:color w:val="4CA447"/>
            <w:sz w:val="21"/>
            <w:szCs w:val="21"/>
            <w:lang w:eastAsia="pt-BR"/>
          </w:rPr>
          <w:t>Rhand</w:t>
        </w:r>
        <w:proofErr w:type="spellEnd"/>
        <w:r w:rsidR="00FC1A21" w:rsidRPr="00FC1A21">
          <w:rPr>
            <w:rFonts w:ascii="latoregular" w:eastAsia="Times New Roman" w:hAnsi="latoregular" w:cs="Times New Roman"/>
            <w:b/>
            <w:bCs/>
            <w:color w:val="4CA447"/>
            <w:sz w:val="21"/>
            <w:szCs w:val="21"/>
            <w:lang w:eastAsia="pt-BR"/>
          </w:rPr>
          <w:t xml:space="preserve"> Leal</w:t>
        </w:r>
      </w:hyperlink>
      <w:r w:rsidR="00FC1A21" w:rsidRPr="00FC1A21">
        <w:rPr>
          <w:rFonts w:ascii="latoregular" w:eastAsia="Times New Roman" w:hAnsi="latoregular" w:cs="Times New Roman"/>
          <w:b/>
          <w:bCs/>
          <w:color w:val="525049"/>
          <w:sz w:val="21"/>
          <w:szCs w:val="21"/>
          <w:lang w:eastAsia="pt-BR"/>
        </w:rPr>
        <w:t> | </w:t>
      </w:r>
      <w:proofErr w:type="spellStart"/>
      <w:r w:rsidR="00FC1A21" w:rsidRPr="00FC1A21">
        <w:rPr>
          <w:rFonts w:ascii="latoregular" w:eastAsia="Times New Roman" w:hAnsi="latoregular" w:cs="Times New Roman"/>
          <w:color w:val="4C9D48"/>
          <w:sz w:val="21"/>
          <w:szCs w:val="21"/>
          <w:lang w:eastAsia="pt-BR"/>
        </w:rPr>
        <w:t>November</w:t>
      </w:r>
      <w:proofErr w:type="spellEnd"/>
      <w:r w:rsidR="00FC1A21" w:rsidRPr="00FC1A21">
        <w:rPr>
          <w:rFonts w:ascii="latoregular" w:eastAsia="Times New Roman" w:hAnsi="latoregular" w:cs="Times New Roman"/>
          <w:color w:val="4C9D48"/>
          <w:sz w:val="21"/>
          <w:szCs w:val="21"/>
          <w:lang w:eastAsia="pt-BR"/>
        </w:rPr>
        <w:t xml:space="preserve"> 23, 2016</w:t>
      </w:r>
    </w:p>
    <w:p w:rsidR="00FC1A21" w:rsidRPr="00FC1A21" w:rsidRDefault="00FC1A21" w:rsidP="00FC1A21">
      <w:pPr>
        <w:shd w:val="clear" w:color="auto" w:fill="FFFFFF"/>
        <w:spacing w:line="0" w:lineRule="auto"/>
        <w:rPr>
          <w:rFonts w:ascii="Helvetica Neue" w:eastAsia="Times New Roman" w:hAnsi="Helvetica Neue" w:cs="Times New Roman"/>
          <w:color w:val="FFFFFF"/>
          <w:sz w:val="2"/>
          <w:szCs w:val="2"/>
          <w:lang w:eastAsia="pt-BR"/>
        </w:rPr>
      </w:pPr>
      <w:r w:rsidRPr="00FC1A21">
        <w:rPr>
          <w:rFonts w:ascii="Helvetica" w:eastAsia="Times New Roman" w:hAnsi="Helvetica" w:cs="Helvetica"/>
          <w:b/>
          <w:bCs/>
          <w:caps/>
          <w:color w:val="32363B"/>
          <w:sz w:val="16"/>
          <w:szCs w:val="16"/>
          <w:shd w:val="clear" w:color="auto" w:fill="EBEBEB"/>
          <w:lang w:eastAsia="pt-BR"/>
        </w:rPr>
        <w:t>27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As soluções e tecnologias da informação e comunicação de hoje permitem que poucas pessoas lidem com uma grande quantidade de informações e processos (ex.: operadores de bolsa de valores e controladores de tráfego aéreo).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Enquanto isto é bom para aumentar a produtividade, um efeito potencial colateral é que estas poucas pessoas podem terminar acumulando conhecimento e/ou privilégios excessivos sobre o ambiente operacional e, caso estejam ausentes ou tenham intenções maliciosas, isto pode se provar como um risco inaceitável, que precisa ser tratado.</w:t>
      </w:r>
    </w:p>
    <w:p w:rsid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Este artigo apresentará um conceito amplamente usado para abordar esta situação, a segregação de funções, e como a </w:t>
      </w:r>
      <w:hyperlink r:id="rId6" w:tgtFrame="_blank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ISO 27001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 a considera em um SGSI para minimizar o risco de uma única posição possa ter a oportunidade de comprometer as atividades de uma organização.</w:t>
      </w:r>
    </w:p>
    <w:p w:rsidR="00331193" w:rsidRPr="00FC1A21" w:rsidRDefault="00331193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</w:p>
    <w:p w:rsidR="00FC1A21" w:rsidRPr="00FC1A21" w:rsidRDefault="00FC1A21" w:rsidP="00FC1A21">
      <w:pPr>
        <w:shd w:val="clear" w:color="auto" w:fill="FFFFFF"/>
        <w:spacing w:after="0" w:line="240" w:lineRule="auto"/>
        <w:outlineLvl w:val="1"/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</w:pPr>
      <w:r w:rsidRPr="00FC1A21"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  <w:t>Definição geral de segregação de funções, propósito e princípios</w:t>
      </w:r>
    </w:p>
    <w:p w:rsidR="00FC1A21" w:rsidRP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Segregação de funções refere-se a práticas onde o conhecimento e/ou privilégios necessários para se completar um processo são quebrados e divididos entre múltiplos usuários de forma que apenas um seja capaz de executá-lo ou controla-lo sozinho.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A principal razão de se aplicar a segregação de funções é prevenir a realização e ocultação de fraude e erro no curso normal das atividades, uma vez que havendo mais de uma pessoa para realizar uma atividade se minimiza a oportunidade de transgressões e aumenta as chances de se detectá-la, assim como de se detecta erros não intencionais.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Os princípios que podem ser aplicados a segregação de funções são:</w:t>
      </w:r>
    </w:p>
    <w:p w:rsidR="00331193" w:rsidRDefault="00FC1A21" w:rsidP="00331193">
      <w:pPr>
        <w:numPr>
          <w:ilvl w:val="0"/>
          <w:numId w:val="1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Separação sequencial, quando uma atividade é quebrada em etapas realizadas por diferentes pessoas (ex.: solicitação, autorização e implementação de direitos de acesso)</w:t>
      </w:r>
    </w:p>
    <w:p w:rsidR="00FC1A21" w:rsidRPr="00331193" w:rsidRDefault="00FC1A21" w:rsidP="00331193">
      <w:pPr>
        <w:numPr>
          <w:ilvl w:val="0"/>
          <w:numId w:val="1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331193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 xml:space="preserve">Separação individual, </w:t>
      </w:r>
      <w:r w:rsidR="00331193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q</w:t>
      </w:r>
      <w:r w:rsidR="00331193" w:rsidRPr="00331193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uando pelo menos duas pessoas devem aprovar uma atividade antes que ela seja executada</w:t>
      </w:r>
      <w:r w:rsidRPr="00331193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 xml:space="preserve"> (ex.: pagamento de empreiteiro)</w:t>
      </w:r>
    </w:p>
    <w:p w:rsidR="00FC1A21" w:rsidRPr="00FC1A21" w:rsidRDefault="00FC1A21" w:rsidP="00FC1A21">
      <w:pPr>
        <w:numPr>
          <w:ilvl w:val="0"/>
          <w:numId w:val="1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Separação espacial, quando diferentes atividades são realizadas em diferentes locais (ex.: localizações diferentes para receber e armazenar matéria prima)</w:t>
      </w:r>
    </w:p>
    <w:p w:rsidR="00FC1A21" w:rsidRPr="00FC1A21" w:rsidRDefault="00FC1A21" w:rsidP="00FC1A21">
      <w:pPr>
        <w:numPr>
          <w:ilvl w:val="0"/>
          <w:numId w:val="1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Separação fatorial, quando vários fatores contribuem para se completar a atividade (ex.: acesso por autenticação de dois fatores).</w:t>
      </w:r>
      <w:bookmarkStart w:id="0" w:name="_GoBack"/>
      <w:bookmarkEnd w:id="0"/>
    </w:p>
    <w:p w:rsid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lastRenderedPageBreak/>
        <w:t>Você pode notar que estes princípios podem ser usados de forma isolada ou em conjunto, dependendo da segurança que uma organização requer para proteger seus processos.</w:t>
      </w:r>
    </w:p>
    <w:p w:rsidR="00331193" w:rsidRPr="00FC1A21" w:rsidRDefault="00331193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</w:p>
    <w:p w:rsidR="00FC1A21" w:rsidRDefault="00FC1A21" w:rsidP="00FC1A21">
      <w:pPr>
        <w:shd w:val="clear" w:color="auto" w:fill="FFFFFF"/>
        <w:spacing w:after="0" w:line="240" w:lineRule="auto"/>
        <w:outlineLvl w:val="1"/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</w:pPr>
      <w:r w:rsidRPr="00FC1A21"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  <w:t>Objetivos e orientações da série ISO 27001 sobre segregação de funções</w:t>
      </w:r>
    </w:p>
    <w:p w:rsidR="00331193" w:rsidRPr="00FC1A21" w:rsidRDefault="00331193" w:rsidP="00FC1A21">
      <w:pPr>
        <w:shd w:val="clear" w:color="auto" w:fill="FFFFFF"/>
        <w:spacing w:after="0" w:line="240" w:lineRule="auto"/>
        <w:outlineLvl w:val="1"/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</w:pP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A ISO 27001 considera a segregação de funções um dos potenciais controles a serem aplicados para controla a implementação e operação da segurança da informação dentro da organização (controle A.6.1.2 do Anexo A).</w:t>
      </w:r>
    </w:p>
    <w:p w:rsidR="00FC1A21" w:rsidRP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O controle da norma requer que atividades e áreas de reponsabilidade conflitantes sejam segregadas de forma a reduzir o risco de um acesso não autorizado a um ativo ou uma modificação ou mau uso não intencional. A determinação de se o controle é aplicável e quais atividades e áreas deveriam estar sob o controle A.6.1.2 deve ser feita de acordo com os resultados de uma </w:t>
      </w:r>
      <w:hyperlink r:id="rId7" w:tgtFrame="_blank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avaliação de riscos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.</w:t>
      </w:r>
    </w:p>
    <w:p w:rsidR="00FC1A21" w:rsidRP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Uma vez que o conceito de segregação de funções é bem direto, a </w:t>
      </w:r>
      <w:hyperlink r:id="rId8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ISO 27002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, a norma que provê práticas para controles de segurança, não provê muito mais informação adicional do que aquela previamente apresentada neste artigo, exceto por dois pontos:</w:t>
      </w:r>
    </w:p>
    <w:p w:rsidR="00FC1A21" w:rsidRPr="00FC1A21" w:rsidRDefault="00FC1A21" w:rsidP="00FC1A21">
      <w:pPr>
        <w:numPr>
          <w:ilvl w:val="0"/>
          <w:numId w:val="2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O projeto do controle deve considerar a possibilidade de conluio (quando duas ou mais partes concordam em cometer fraude ou obter uma vantagem injusta ao comprometer a execução do processo)</w:t>
      </w:r>
    </w:p>
    <w:p w:rsidR="00FC1A21" w:rsidRPr="00FC1A21" w:rsidRDefault="00FC1A21" w:rsidP="00FC1A21">
      <w:pPr>
        <w:numPr>
          <w:ilvl w:val="0"/>
          <w:numId w:val="2"/>
        </w:numPr>
        <w:shd w:val="clear" w:color="auto" w:fill="FFFFFF"/>
        <w:spacing w:after="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Quando a segregação de funções é difícil ou impossível de se atingir, </w:t>
      </w:r>
      <w:hyperlink r:id="rId9" w:tgtFrame="_blank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controles de compensação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 deveriam ser aplicados (informação detalhada será apresentada mais adiante neste artigo)</w:t>
      </w:r>
    </w:p>
    <w:p w:rsidR="00FC1A21" w:rsidRPr="00FC1A21" w:rsidRDefault="00FC1A21" w:rsidP="00FC1A21">
      <w:pPr>
        <w:shd w:val="clear" w:color="auto" w:fill="FFFFFF"/>
        <w:spacing w:after="0" w:line="240" w:lineRule="auto"/>
        <w:outlineLvl w:val="1"/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</w:pPr>
      <w:r w:rsidRPr="00FC1A21"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  <w:t>Implementando a segregação de funções</w:t>
      </w:r>
    </w:p>
    <w:p w:rsidR="00FC1A21" w:rsidRP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Mas, como a segregação de funções é implementada? Basicamente, estas etapas deveriam ser seguidas como parte de um </w:t>
      </w:r>
      <w:hyperlink r:id="rId10" w:tgtFrame="_blank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plano de tratamento de riscos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:</w:t>
      </w:r>
    </w:p>
    <w:p w:rsidR="00FC1A21" w:rsidRPr="00FC1A21" w:rsidRDefault="00FC1A21" w:rsidP="00FC1A21">
      <w:pPr>
        <w:numPr>
          <w:ilvl w:val="0"/>
          <w:numId w:val="3"/>
        </w:numPr>
        <w:shd w:val="clear" w:color="auto" w:fill="FFFFFF"/>
        <w:spacing w:after="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Identificação das funções que são indispensáveis para as atividades da organização, e potencialmente sujeitas a abuso, considerando tanto os direcionadores de negócio como a </w:t>
      </w:r>
      <w:hyperlink r:id="rId11" w:tgtFrame="_blank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conformidade regulatória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 (ex.: SOX)</w:t>
      </w:r>
    </w:p>
    <w:p w:rsidR="00FC1A21" w:rsidRPr="00FC1A21" w:rsidRDefault="00FC1A21" w:rsidP="00FC1A21">
      <w:pPr>
        <w:numPr>
          <w:ilvl w:val="0"/>
          <w:numId w:val="3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Divisão da função em etapas separadas, considerando tanto o conhecimento necessário para a função trabalhar como os privilégios que possibilitam que a função seja abusada</w:t>
      </w:r>
    </w:p>
    <w:p w:rsidR="00FC1A21" w:rsidRPr="00FC1A21" w:rsidRDefault="00FC1A21" w:rsidP="00FC1A21">
      <w:pPr>
        <w:numPr>
          <w:ilvl w:val="0"/>
          <w:numId w:val="3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Definição de um ou mais princípios de segregação a serem aplicados. Exemplos de funções e princípios de segregação a serem aplicados são:</w:t>
      </w:r>
    </w:p>
    <w:p w:rsidR="00FC1A21" w:rsidRPr="00FC1A21" w:rsidRDefault="00FC1A21" w:rsidP="00FC1A21">
      <w:pPr>
        <w:numPr>
          <w:ilvl w:val="1"/>
          <w:numId w:val="4"/>
        </w:numPr>
        <w:shd w:val="clear" w:color="auto" w:fill="FFFFFF"/>
        <w:spacing w:after="150" w:line="240" w:lineRule="auto"/>
        <w:ind w:left="540" w:hanging="36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Funções de autorização (ex.: duas pessoas precisam autorizar um pagamento)</w:t>
      </w:r>
    </w:p>
    <w:p w:rsidR="00FC1A21" w:rsidRPr="00FC1A21" w:rsidRDefault="00FC1A21" w:rsidP="00FC1A21">
      <w:pPr>
        <w:numPr>
          <w:ilvl w:val="1"/>
          <w:numId w:val="4"/>
        </w:numPr>
        <w:shd w:val="clear" w:color="auto" w:fill="FFFFFF"/>
        <w:spacing w:after="150" w:line="240" w:lineRule="auto"/>
        <w:ind w:left="540" w:hanging="36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Funções de documentação (ex.: uma pessoa cria um documento e outra o aprova)</w:t>
      </w:r>
    </w:p>
    <w:p w:rsidR="00FC1A21" w:rsidRPr="00FC1A21" w:rsidRDefault="00FC1A21" w:rsidP="00FC1A21">
      <w:pPr>
        <w:numPr>
          <w:ilvl w:val="1"/>
          <w:numId w:val="4"/>
        </w:numPr>
        <w:shd w:val="clear" w:color="auto" w:fill="FFFFFF"/>
        <w:spacing w:after="150" w:line="240" w:lineRule="auto"/>
        <w:ind w:left="540" w:hanging="36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Custódia de ativos (ex.: criação e armazenamento de cópia de segurança em sites diferentes)</w:t>
      </w:r>
    </w:p>
    <w:p w:rsidR="00FC1A21" w:rsidRPr="00FC1A21" w:rsidRDefault="00FC1A21" w:rsidP="00FC1A21">
      <w:pPr>
        <w:numPr>
          <w:ilvl w:val="1"/>
          <w:numId w:val="4"/>
        </w:numPr>
        <w:shd w:val="clear" w:color="auto" w:fill="FFFFFF"/>
        <w:spacing w:after="150" w:line="240" w:lineRule="auto"/>
        <w:ind w:left="540" w:hanging="36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lastRenderedPageBreak/>
        <w:t>Reconciliação ou auditoria (ex.: uma pessoa realiza o inventario e outra o valida)</w:t>
      </w:r>
    </w:p>
    <w:p w:rsid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Para mais informação sobre documentação de responsabilidades, veja: </w:t>
      </w:r>
      <w:hyperlink r:id="rId12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Como documentar papéis e responsabilidades de acordo com a ISO 27001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.</w:t>
      </w:r>
    </w:p>
    <w:p w:rsidR="00331193" w:rsidRPr="00FC1A21" w:rsidRDefault="00331193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</w:p>
    <w:p w:rsidR="00FC1A21" w:rsidRPr="00FC1A21" w:rsidRDefault="00FC1A21" w:rsidP="00FC1A21">
      <w:pPr>
        <w:shd w:val="clear" w:color="auto" w:fill="FFFFFF"/>
        <w:spacing w:after="0" w:line="240" w:lineRule="auto"/>
        <w:outlineLvl w:val="1"/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</w:pPr>
      <w:r w:rsidRPr="00FC1A21"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  <w:t>Alternativas a segregação de funções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Algumas vezes a segregação de funções é impraticável porque a organização é muito pequena para designer funções para pessoas diferentes. Em outros casos, quebrar as atividades pode reduzir a eficiência do negócio e aumentar os custos, complexidade, e requisitos de pessoa.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Nestas situações, controles de compensação deveriam estar implementados para assegurar que mesmo sem a segregação de funções os riscos identificados estão sendo apropriadamente tratados. Exemplos de controles de compensação são:</w:t>
      </w:r>
    </w:p>
    <w:p w:rsidR="00FC1A21" w:rsidRPr="00FC1A21" w:rsidRDefault="00FC1A21" w:rsidP="00FC1A21">
      <w:pPr>
        <w:numPr>
          <w:ilvl w:val="0"/>
          <w:numId w:val="5"/>
        </w:numPr>
        <w:shd w:val="clear" w:color="auto" w:fill="FFFFFF"/>
        <w:spacing w:after="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Monitoramento de atividades: este permite que as atividades sejam supervisionadas enquanto em progresso, como uma forma de assegurar que elas estão sendo realizadas adequadamente. Para mais informação, veja: </w:t>
      </w:r>
      <w:proofErr w:type="spellStart"/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fldChar w:fldCharType="begin"/>
      </w: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instrText xml:space="preserve"> HYPERLINK "https://advisera.com/27001academy/blog/2015/11/23/logging-and-monitoring-according-to-iso-27001-a-12-4/?icn=free-blog-27001&amp;ici=bottom-logging-and-monitoring-according-to-iso-27001-a-12-4-txt" </w:instrText>
      </w: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fldChar w:fldCharType="separate"/>
      </w:r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>Logging</w:t>
      </w:r>
      <w:proofErr w:type="spellEnd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 xml:space="preserve"> </w:t>
      </w:r>
      <w:proofErr w:type="spellStart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>and</w:t>
      </w:r>
      <w:proofErr w:type="spellEnd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 xml:space="preserve"> </w:t>
      </w:r>
      <w:proofErr w:type="spellStart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>monitoring</w:t>
      </w:r>
      <w:proofErr w:type="spellEnd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 xml:space="preserve"> </w:t>
      </w:r>
      <w:proofErr w:type="spellStart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>according</w:t>
      </w:r>
      <w:proofErr w:type="spellEnd"/>
      <w:r w:rsidRPr="00FC1A21">
        <w:rPr>
          <w:rFonts w:ascii="latoregular" w:eastAsia="Times New Roman" w:hAnsi="latoregular" w:cs="Times New Roman"/>
          <w:color w:val="4CA447"/>
          <w:sz w:val="21"/>
          <w:szCs w:val="21"/>
          <w:lang w:eastAsia="pt-BR"/>
        </w:rPr>
        <w:t xml:space="preserve"> ISO 27001 A.12.4</w:t>
      </w: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fldChar w:fldCharType="end"/>
      </w: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.</w:t>
      </w:r>
    </w:p>
    <w:p w:rsidR="00FC1A21" w:rsidRPr="00FC1A21" w:rsidRDefault="00FC1A21" w:rsidP="00FC1A21">
      <w:pPr>
        <w:numPr>
          <w:ilvl w:val="0"/>
          <w:numId w:val="5"/>
        </w:numPr>
        <w:shd w:val="clear" w:color="auto" w:fill="FFFFFF"/>
        <w:spacing w:after="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Trilhas de auditoria: estas permitem a organização recriar os reais eventos desde o início até a sua situação atual (ex.: quem iniciou o evento, a hora do dia e data, etc.). Para mais informação sobre como determinar as informações a serem rastreadas, veja: </w:t>
      </w:r>
      <w:hyperlink r:id="rId13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Como fazer uma Lista de Verificação para Auditoria Interna da ISO 27001 / ISO 22301</w:t>
        </w:r>
      </w:hyperlink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.</w:t>
      </w:r>
    </w:p>
    <w:p w:rsidR="00FC1A21" w:rsidRPr="00FC1A21" w:rsidRDefault="00FC1A21" w:rsidP="00FC1A21">
      <w:pPr>
        <w:numPr>
          <w:ilvl w:val="0"/>
          <w:numId w:val="5"/>
        </w:numPr>
        <w:shd w:val="clear" w:color="auto" w:fill="FFFFFF"/>
        <w:spacing w:after="150" w:line="240" w:lineRule="auto"/>
        <w:ind w:left="270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Supervisão pela gestão: isto permite avaliação e tratativa apropriada e em tempo hábil de situações excepcionais.</w:t>
      </w:r>
    </w:p>
    <w:p w:rsidR="00FC1A21" w:rsidRPr="00FC1A21" w:rsidRDefault="00FC1A21" w:rsidP="00FC1A21">
      <w:pPr>
        <w:shd w:val="clear" w:color="auto" w:fill="FFFFFF"/>
        <w:spacing w:after="0" w:line="240" w:lineRule="auto"/>
        <w:outlineLvl w:val="1"/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</w:pPr>
      <w:r w:rsidRPr="00FC1A21">
        <w:rPr>
          <w:rFonts w:ascii="latoregular" w:eastAsia="Times New Roman" w:hAnsi="latoregular" w:cs="Times New Roman"/>
          <w:color w:val="71868E"/>
          <w:sz w:val="39"/>
          <w:szCs w:val="39"/>
          <w:lang w:eastAsia="pt-BR"/>
        </w:rPr>
        <w:t>Às vezes, ter todos os seus ovos em uma cesta não é uma boa ideia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Crimes requerem três fatores para serem possíveis: meios, motivo e oportunidade. Processos extremamente enxutos aumentam o risco de crimes ao concentrar meios e oportunidade (acesso ao, e privilégios sobre o, processo). Ao implementar a segregação de funções, uma organização minimiza os riscos ao separar conhecimento e privilégios.</w:t>
      </w:r>
    </w:p>
    <w:p w:rsidR="00FC1A21" w:rsidRPr="00FC1A21" w:rsidRDefault="00FC1A21" w:rsidP="00FC1A21">
      <w:pPr>
        <w:shd w:val="clear" w:color="auto" w:fill="FFFFFF"/>
        <w:spacing w:after="15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Contudo, os benefícios da segregação de funções devem ser equilibrados com o aumento do custo/esforço requerido. Ao usar os requisitos para avaliação de riscos da ISO 27001, uma organização pode identificar os elementos mais vulneráveis e críticos a missão do negócio para os quais a segregação de funções representará valor agregado real ao negócio e a outras partes interessadas.</w:t>
      </w:r>
    </w:p>
    <w:p w:rsidR="00FC1A21" w:rsidRPr="00FC1A21" w:rsidRDefault="00FC1A21" w:rsidP="00FC1A21">
      <w:pPr>
        <w:shd w:val="clear" w:color="auto" w:fill="FFFFFF"/>
        <w:spacing w:after="0" w:line="372" w:lineRule="atLeast"/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</w:pPr>
      <w:r w:rsidRPr="00FC1A21">
        <w:rPr>
          <w:rFonts w:ascii="latoregular" w:eastAsia="Times New Roman" w:hAnsi="latoregular" w:cs="Times New Roman"/>
          <w:i/>
          <w:iCs/>
          <w:color w:val="444444"/>
          <w:sz w:val="21"/>
          <w:szCs w:val="21"/>
          <w:lang w:eastAsia="pt-BR"/>
        </w:rPr>
        <w:t>Para aprender mais sobre segregação de funções de acordo com a ISO 27001, tente nosso  </w:t>
      </w:r>
      <w:hyperlink r:id="rId14" w:history="1"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 xml:space="preserve">ISO 27001:2013 </w:t>
        </w:r>
        <w:proofErr w:type="spellStart"/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Foundations</w:t>
        </w:r>
        <w:proofErr w:type="spellEnd"/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 xml:space="preserve"> </w:t>
        </w:r>
        <w:proofErr w:type="spellStart"/>
        <w:r w:rsidRPr="00FC1A21">
          <w:rPr>
            <w:rFonts w:ascii="latoregular" w:eastAsia="Times New Roman" w:hAnsi="latoregular" w:cs="Times New Roman"/>
            <w:color w:val="4CA447"/>
            <w:sz w:val="21"/>
            <w:szCs w:val="21"/>
            <w:lang w:eastAsia="pt-BR"/>
          </w:rPr>
          <w:t>Course</w:t>
        </w:r>
        <w:proofErr w:type="spellEnd"/>
      </w:hyperlink>
      <w:r w:rsidRPr="00FC1A21">
        <w:rPr>
          <w:rFonts w:ascii="latoregular" w:eastAsia="Times New Roman" w:hAnsi="latoregular" w:cs="Times New Roman"/>
          <w:i/>
          <w:iCs/>
          <w:color w:val="444444"/>
          <w:sz w:val="21"/>
          <w:szCs w:val="21"/>
          <w:lang w:eastAsia="pt-BR"/>
        </w:rPr>
        <w:t> online gratuito</w:t>
      </w:r>
      <w:r w:rsidRPr="00FC1A21">
        <w:rPr>
          <w:rFonts w:ascii="latoregular" w:eastAsia="Times New Roman" w:hAnsi="latoregular" w:cs="Times New Roman"/>
          <w:color w:val="444444"/>
          <w:sz w:val="21"/>
          <w:szCs w:val="21"/>
          <w:lang w:eastAsia="pt-BR"/>
        </w:rPr>
        <w:t>.</w:t>
      </w:r>
    </w:p>
    <w:p w:rsidR="00EF7BFF" w:rsidRDefault="00EF7BFF"/>
    <w:sectPr w:rsidR="00EF7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bold">
    <w:altName w:val="Segoe UI"/>
    <w:panose1 w:val="00000000000000000000"/>
    <w:charset w:val="00"/>
    <w:family w:val="roman"/>
    <w:notTrueType/>
    <w:pitch w:val="default"/>
  </w:font>
  <w:font w:name="latoregular">
    <w:altName w:val="Segoe UI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 Neue"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74271"/>
    <w:multiLevelType w:val="multilevel"/>
    <w:tmpl w:val="67AE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7061A"/>
    <w:multiLevelType w:val="multilevel"/>
    <w:tmpl w:val="AB4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734F"/>
    <w:multiLevelType w:val="multilevel"/>
    <w:tmpl w:val="EEF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90CC0"/>
    <w:multiLevelType w:val="multilevel"/>
    <w:tmpl w:val="A6F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  <w:lvlOverride w:ilvl="1">
      <w:lvl w:ilvl="1">
        <w:numFmt w:val="upperLetter"/>
        <w:lvlText w:val="%2."/>
        <w:lvlJc w:val="left"/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A21"/>
    <w:rsid w:val="00331193"/>
    <w:rsid w:val="003A0B98"/>
    <w:rsid w:val="00EF7BFF"/>
    <w:rsid w:val="00FC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15793"/>
  <w15:chartTrackingRefBased/>
  <w15:docId w15:val="{E9DAFDDA-4E4F-4A93-8DA3-3A8D05A2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C1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C1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1A2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C1A2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post-author">
    <w:name w:val="post-author"/>
    <w:basedOn w:val="Normal"/>
    <w:rsid w:val="00FC1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C1A21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FC1A21"/>
  </w:style>
  <w:style w:type="character" w:customStyle="1" w:styleId="post-date">
    <w:name w:val="post-date"/>
    <w:basedOn w:val="Fontepargpadro"/>
    <w:rsid w:val="00FC1A21"/>
  </w:style>
  <w:style w:type="character" w:customStyle="1" w:styleId="atflatcounter">
    <w:name w:val="at_flat_counter"/>
    <w:basedOn w:val="Fontepargpadro"/>
    <w:rsid w:val="00FC1A21"/>
  </w:style>
  <w:style w:type="paragraph" w:styleId="NormalWeb">
    <w:name w:val="Normal (Web)"/>
    <w:basedOn w:val="Normal"/>
    <w:uiPriority w:val="99"/>
    <w:semiHidden/>
    <w:unhideWhenUsed/>
    <w:rsid w:val="00FC1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C1A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7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2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49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7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18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1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242910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isera.com/27001academy/pt-br/blog/2010/12/19/iso-27001-vs-iso-27002-4/?icn=free-blog-27001&amp;ici=top-iso-27002-txt" TargetMode="External"/><Relationship Id="rId13" Type="http://schemas.openxmlformats.org/officeDocument/2006/relationships/hyperlink" Target="https://advisera.com/27001academy/pt-br/blog/2013/11/26/como-fazer-uma-lista-de-verificacao-para-auditoria-interna-da-iso-27001-iso-22301/?icn=free-blog-27001&amp;ici=bottom-como-fazer-uma-lista-de-verificacao-para-auditoria-interna-da-iso-27001-iso-22301-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visera.com/27001academy/pt-br/documentation/anexo-1-tabela-de-avaliacao-de-riscos/?icn=paid-document-27001-risk-assessment-table&amp;ici=top-avaliacao-de-riscos-txt" TargetMode="External"/><Relationship Id="rId12" Type="http://schemas.openxmlformats.org/officeDocument/2006/relationships/hyperlink" Target="https://advisera.com/27001academy/pt-br/blog/2016/06/22/como-documentar-papeis-e-responsabilidades-de-acordo-com-a-iso-27001/?icn=free-blog-27001&amp;ici=bottom-como-documentar-papeis-e-responsabilidades-de-acordo-com-a-iso-27001-tx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visera.com/27001academy/pt-br/o-que-e-a-iso-27001/?icn=free-what-is-iso-27001&amp;ici=top-iso-27001-txt" TargetMode="External"/><Relationship Id="rId11" Type="http://schemas.openxmlformats.org/officeDocument/2006/relationships/hyperlink" Target="https://advisera.com/27001academy/pt-br/documentation/anexo-lista-de-obrigacoes-estatutarias-regulamentares-contratuais-e-outras/?icn=paid-document-27001-list-of-legal-regulatory-contractual-and-other-requirements&amp;ici=bottom-conformidade-regulatoria-txt" TargetMode="External"/><Relationship Id="rId5" Type="http://schemas.openxmlformats.org/officeDocument/2006/relationships/hyperlink" Target="https://advisera.com/27001academy/pt-br/blog/author/rhandleal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dvisera.com/27001academy/pt-br/documentation/plano-de-tratamento-de-riscos/?icn=paid-document-27001-risk-treatment-plan&amp;ici=bottom-plano-de-tratamento-de-riscos-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isera.com/27001academy/pt-br/documentation/declaracao-de-aplicabilidade/?icn=paid-document-27001-statement-of-applicability&amp;ici=top-controles-de-compensacao-txt" TargetMode="External"/><Relationship Id="rId14" Type="http://schemas.openxmlformats.org/officeDocument/2006/relationships/hyperlink" Target="http://training.advisera.com/course/iso-27001-foundations-course/?icn=online-training-27001-foundations&amp;ici=bottom-iso-27001-2013-foundations-course-tx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1435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2017-02-21T17:10:00Z</dcterms:created>
  <dcterms:modified xsi:type="dcterms:W3CDTF">2017-02-22T13:24:00Z</dcterms:modified>
</cp:coreProperties>
</file>