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BFF" w:rsidRDefault="00946510" w:rsidP="00E90B09">
      <w:pPr>
        <w:jc w:val="center"/>
        <w:rPr>
          <w:b/>
          <w:sz w:val="24"/>
          <w:szCs w:val="24"/>
        </w:rPr>
      </w:pPr>
      <w:r>
        <w:rPr>
          <w:b/>
          <w:sz w:val="24"/>
          <w:szCs w:val="24"/>
        </w:rPr>
        <w:t>DS5.11</w:t>
      </w:r>
      <w:r w:rsidR="00D1202A" w:rsidRPr="00E90B09">
        <w:rPr>
          <w:b/>
          <w:sz w:val="24"/>
          <w:szCs w:val="24"/>
        </w:rPr>
        <w:t xml:space="preserve"> - </w:t>
      </w:r>
      <w:r w:rsidRPr="00946510">
        <w:rPr>
          <w:b/>
          <w:sz w:val="24"/>
          <w:szCs w:val="24"/>
        </w:rPr>
        <w:t>Comunicação de Dados Confidenciais</w:t>
      </w:r>
    </w:p>
    <w:p w:rsidR="00827D31" w:rsidRDefault="00827D31" w:rsidP="00E90B09">
      <w:pPr>
        <w:jc w:val="center"/>
        <w:rPr>
          <w:b/>
          <w:sz w:val="24"/>
          <w:szCs w:val="24"/>
        </w:rPr>
      </w:pPr>
    </w:p>
    <w:p w:rsidR="0040407A" w:rsidRDefault="00946510" w:rsidP="00DA3835">
      <w:pPr>
        <w:jc w:val="center"/>
        <w:rPr>
          <w:sz w:val="24"/>
          <w:szCs w:val="24"/>
        </w:rPr>
      </w:pPr>
      <w:r w:rsidRPr="00946510">
        <w:rPr>
          <w:sz w:val="24"/>
          <w:szCs w:val="24"/>
        </w:rPr>
        <w:t>Assegurar que as transações de comunicação de dados confidenciais ocorram somente por um caminho confiável ou controlado de modo a fornecer autenticação de conteúdo, comprovante de envio, comprovante de recebimento e não-rejeição de origem.</w:t>
      </w:r>
    </w:p>
    <w:p w:rsidR="00DA3835" w:rsidRDefault="00DA3835">
      <w:pPr>
        <w:rPr>
          <w:sz w:val="24"/>
          <w:szCs w:val="24"/>
        </w:rPr>
      </w:pPr>
    </w:p>
    <w:p w:rsidR="0040407A" w:rsidRDefault="0040407A" w:rsidP="0040407A">
      <w:pPr>
        <w:rPr>
          <w:b/>
          <w:sz w:val="24"/>
          <w:szCs w:val="24"/>
        </w:rPr>
      </w:pPr>
      <w:r>
        <w:rPr>
          <w:b/>
          <w:sz w:val="24"/>
          <w:szCs w:val="24"/>
        </w:rPr>
        <w:t>Práticas de Controle:</w:t>
      </w:r>
    </w:p>
    <w:p w:rsidR="0040407A" w:rsidRDefault="0040407A">
      <w:pPr>
        <w:rPr>
          <w:b/>
          <w:sz w:val="24"/>
          <w:szCs w:val="24"/>
        </w:rPr>
      </w:pPr>
    </w:p>
    <w:p w:rsidR="00946510" w:rsidRDefault="00D1202A" w:rsidP="00946510">
      <w:r w:rsidRPr="0040407A">
        <w:t xml:space="preserve">1 - </w:t>
      </w:r>
      <w:r w:rsidR="00946510" w:rsidRPr="00946510">
        <w:t>Determinar utilizando o esquema de classificação de informação estabelecido como os dados devem ser protegidos quando trocados.</w:t>
      </w:r>
    </w:p>
    <w:p w:rsidR="00946510" w:rsidRDefault="00946510" w:rsidP="00946510">
      <w:r>
        <w:t xml:space="preserve">2 - </w:t>
      </w:r>
      <w:r w:rsidRPr="00946510">
        <w:t>Aplique os controles de aplicativos apropriados para proteger a troca de dados.</w:t>
      </w:r>
    </w:p>
    <w:p w:rsidR="00946510" w:rsidRDefault="00946510" w:rsidP="00946510">
      <w:r>
        <w:t>3 - Aplicar controles de infra</w:t>
      </w:r>
      <w:r w:rsidRPr="00946510">
        <w:t>estrutura apropriados, com base na classificação de informações e tecnologia em uso, para proteger a troca de dados.</w:t>
      </w:r>
    </w:p>
    <w:p w:rsidR="001050EF" w:rsidRPr="007303DA" w:rsidRDefault="00AA5E93" w:rsidP="007303DA">
      <w:pPr>
        <w:jc w:val="center"/>
        <w:rPr>
          <w:b/>
          <w:sz w:val="24"/>
          <w:szCs w:val="24"/>
        </w:rPr>
      </w:pPr>
      <w:r w:rsidRPr="007303DA">
        <w:rPr>
          <w:b/>
          <w:sz w:val="24"/>
          <w:szCs w:val="24"/>
        </w:rPr>
        <w:t>ISO 27001</w:t>
      </w:r>
    </w:p>
    <w:p w:rsidR="007303DA" w:rsidRDefault="007303DA" w:rsidP="007303DA">
      <w:pPr>
        <w:pStyle w:val="Default"/>
        <w:rPr>
          <w:sz w:val="22"/>
          <w:szCs w:val="22"/>
        </w:rPr>
      </w:pPr>
      <w:r>
        <w:rPr>
          <w:sz w:val="22"/>
          <w:szCs w:val="22"/>
        </w:rPr>
        <w:t xml:space="preserve">A.13.2.1 </w:t>
      </w:r>
      <w:r>
        <w:rPr>
          <w:sz w:val="22"/>
          <w:szCs w:val="22"/>
        </w:rPr>
        <w:t xml:space="preserve">- </w:t>
      </w:r>
      <w:r>
        <w:rPr>
          <w:sz w:val="22"/>
          <w:szCs w:val="22"/>
        </w:rPr>
        <w:t xml:space="preserve">Políticas e procedimentos para transferência de informações </w:t>
      </w:r>
    </w:p>
    <w:p w:rsidR="007303DA" w:rsidRDefault="007303DA" w:rsidP="007303DA">
      <w:pPr>
        <w:pStyle w:val="Default"/>
        <w:rPr>
          <w:sz w:val="22"/>
          <w:szCs w:val="22"/>
        </w:rPr>
      </w:pPr>
      <w:r>
        <w:rPr>
          <w:sz w:val="22"/>
          <w:szCs w:val="22"/>
        </w:rPr>
        <w:t xml:space="preserve">Controle - </w:t>
      </w:r>
      <w:r>
        <w:rPr>
          <w:sz w:val="22"/>
          <w:szCs w:val="22"/>
        </w:rPr>
        <w:t xml:space="preserve">Políticas, procedimentos e controles de transferências formais, devem ser estabelecidos para proteger a transferência de informações por meio do uso de todos os tipos de recursos de comunicação. </w:t>
      </w:r>
    </w:p>
    <w:p w:rsidR="007303DA" w:rsidRDefault="007303DA" w:rsidP="00A53656"/>
    <w:p w:rsidR="00AA5E93" w:rsidRPr="007303DA" w:rsidRDefault="00AA5E93" w:rsidP="007303DA">
      <w:pPr>
        <w:jc w:val="center"/>
        <w:rPr>
          <w:b/>
          <w:sz w:val="24"/>
          <w:szCs w:val="24"/>
        </w:rPr>
      </w:pPr>
      <w:bookmarkStart w:id="0" w:name="_GoBack"/>
      <w:bookmarkEnd w:id="0"/>
      <w:r w:rsidRPr="007303DA">
        <w:rPr>
          <w:b/>
          <w:sz w:val="24"/>
          <w:szCs w:val="24"/>
        </w:rPr>
        <w:t>ISO 27002</w:t>
      </w:r>
    </w:p>
    <w:p w:rsidR="007303DA" w:rsidRDefault="007303DA" w:rsidP="007303DA">
      <w:pPr>
        <w:pStyle w:val="Default"/>
      </w:pPr>
    </w:p>
    <w:p w:rsidR="007303DA" w:rsidRDefault="007303DA" w:rsidP="007303DA">
      <w:pPr>
        <w:pStyle w:val="Default"/>
        <w:rPr>
          <w:sz w:val="23"/>
          <w:szCs w:val="23"/>
        </w:rPr>
      </w:pPr>
      <w:r>
        <w:rPr>
          <w:b/>
          <w:bCs/>
          <w:sz w:val="23"/>
          <w:szCs w:val="23"/>
        </w:rPr>
        <w:t xml:space="preserve">13.2 Transferência de informação </w:t>
      </w:r>
    </w:p>
    <w:p w:rsidR="007303DA" w:rsidRDefault="007303DA" w:rsidP="007303DA">
      <w:pPr>
        <w:pStyle w:val="Default"/>
        <w:rPr>
          <w:sz w:val="23"/>
          <w:szCs w:val="23"/>
        </w:rPr>
      </w:pPr>
    </w:p>
    <w:p w:rsidR="007303DA" w:rsidRDefault="007303DA" w:rsidP="007303DA">
      <w:pPr>
        <w:pStyle w:val="Default"/>
        <w:spacing w:after="240"/>
        <w:jc w:val="both"/>
        <w:rPr>
          <w:sz w:val="22"/>
          <w:szCs w:val="22"/>
        </w:rPr>
      </w:pPr>
      <w:r>
        <w:rPr>
          <w:sz w:val="22"/>
          <w:szCs w:val="22"/>
        </w:rPr>
        <w:t xml:space="preserve">Objetivo: Manter a segurança da informação transferida dentro da organização e com quaisquer entidades externas. </w:t>
      </w:r>
    </w:p>
    <w:p w:rsidR="007303DA" w:rsidRDefault="007303DA" w:rsidP="007303DA">
      <w:pPr>
        <w:pStyle w:val="Default"/>
        <w:rPr>
          <w:sz w:val="22"/>
          <w:szCs w:val="22"/>
        </w:rPr>
      </w:pPr>
      <w:r>
        <w:rPr>
          <w:b/>
          <w:bCs/>
          <w:sz w:val="22"/>
          <w:szCs w:val="22"/>
        </w:rPr>
        <w:t xml:space="preserve">13.2.1 Políticas e procedimentos para transferência de informações </w:t>
      </w:r>
    </w:p>
    <w:p w:rsidR="007303DA" w:rsidRDefault="007303DA" w:rsidP="007303DA">
      <w:pPr>
        <w:pStyle w:val="Default"/>
        <w:rPr>
          <w:sz w:val="22"/>
          <w:szCs w:val="22"/>
        </w:rPr>
      </w:pPr>
    </w:p>
    <w:p w:rsidR="007303DA" w:rsidRDefault="007303DA" w:rsidP="007303DA">
      <w:pPr>
        <w:pStyle w:val="Default"/>
        <w:spacing w:after="240"/>
        <w:jc w:val="both"/>
        <w:rPr>
          <w:sz w:val="22"/>
          <w:szCs w:val="22"/>
        </w:rPr>
      </w:pPr>
      <w:r>
        <w:rPr>
          <w:sz w:val="22"/>
          <w:szCs w:val="22"/>
          <w:u w:val="single"/>
        </w:rPr>
        <w:t xml:space="preserve">Controle </w:t>
      </w:r>
    </w:p>
    <w:p w:rsidR="007303DA" w:rsidRDefault="007303DA" w:rsidP="007303DA">
      <w:pPr>
        <w:pStyle w:val="Default"/>
        <w:spacing w:after="240"/>
        <w:jc w:val="both"/>
        <w:rPr>
          <w:sz w:val="22"/>
          <w:szCs w:val="22"/>
        </w:rPr>
      </w:pPr>
      <w:r>
        <w:rPr>
          <w:sz w:val="22"/>
          <w:szCs w:val="22"/>
        </w:rPr>
        <w:t xml:space="preserve">Convém que políticas, procedimentos e controles de transferências formais, sejam estabelecidos para proteger a transferência de informações, por meio do uso de todos os tipos de recursos de comunicação. </w:t>
      </w:r>
    </w:p>
    <w:p w:rsidR="007303DA" w:rsidRDefault="007303DA" w:rsidP="007303DA">
      <w:pPr>
        <w:pStyle w:val="Default"/>
        <w:spacing w:after="240"/>
        <w:jc w:val="both"/>
        <w:rPr>
          <w:sz w:val="22"/>
          <w:szCs w:val="22"/>
        </w:rPr>
      </w:pPr>
      <w:r>
        <w:rPr>
          <w:sz w:val="22"/>
          <w:szCs w:val="22"/>
          <w:u w:val="single"/>
        </w:rPr>
        <w:t xml:space="preserve">Diretrizes para implementação </w:t>
      </w:r>
    </w:p>
    <w:p w:rsidR="007303DA" w:rsidRDefault="007303DA" w:rsidP="007303DA">
      <w:pPr>
        <w:pStyle w:val="Default"/>
        <w:spacing w:after="240"/>
        <w:jc w:val="both"/>
        <w:rPr>
          <w:sz w:val="22"/>
          <w:szCs w:val="22"/>
        </w:rPr>
      </w:pPr>
      <w:r>
        <w:rPr>
          <w:sz w:val="22"/>
          <w:szCs w:val="22"/>
        </w:rPr>
        <w:t xml:space="preserve">Convém que procedimentos e controles estabelecidos para a troca de informações em recursos eletrônicos de comunicação considerem os tópicos a seguir: </w:t>
      </w:r>
    </w:p>
    <w:p w:rsidR="007303DA" w:rsidRDefault="007303DA" w:rsidP="007303DA">
      <w:pPr>
        <w:pStyle w:val="Default"/>
        <w:numPr>
          <w:ilvl w:val="0"/>
          <w:numId w:val="1"/>
        </w:numPr>
        <w:spacing w:after="170"/>
        <w:rPr>
          <w:sz w:val="22"/>
          <w:szCs w:val="22"/>
        </w:rPr>
      </w:pPr>
      <w:r>
        <w:rPr>
          <w:sz w:val="22"/>
          <w:szCs w:val="22"/>
        </w:rPr>
        <w:t xml:space="preserve">a) </w:t>
      </w:r>
      <w:r>
        <w:rPr>
          <w:sz w:val="22"/>
          <w:szCs w:val="22"/>
        </w:rPr>
        <w:t xml:space="preserve">procedimentos para proteger a informação transferida contra interceptação, cópia, modificação, desvio e destruição; </w:t>
      </w:r>
    </w:p>
    <w:p w:rsidR="007303DA" w:rsidRDefault="007303DA" w:rsidP="007303DA">
      <w:pPr>
        <w:pStyle w:val="Default"/>
        <w:numPr>
          <w:ilvl w:val="0"/>
          <w:numId w:val="1"/>
        </w:numPr>
        <w:spacing w:after="170"/>
        <w:rPr>
          <w:sz w:val="22"/>
          <w:szCs w:val="22"/>
        </w:rPr>
      </w:pPr>
      <w:r>
        <w:rPr>
          <w:sz w:val="22"/>
          <w:szCs w:val="22"/>
        </w:rPr>
        <w:lastRenderedPageBreak/>
        <w:t xml:space="preserve">b) </w:t>
      </w:r>
      <w:r>
        <w:rPr>
          <w:sz w:val="22"/>
          <w:szCs w:val="22"/>
        </w:rPr>
        <w:t xml:space="preserve">procedimentos para detecção e proteção contra código malicioso que pode ser transmitido através do uso de recursos eletrônicos de comunicação (ver 12.2.1); </w:t>
      </w:r>
    </w:p>
    <w:p w:rsidR="007303DA" w:rsidRDefault="007303DA" w:rsidP="007303DA">
      <w:pPr>
        <w:pStyle w:val="Default"/>
        <w:numPr>
          <w:ilvl w:val="0"/>
          <w:numId w:val="1"/>
        </w:numPr>
        <w:spacing w:after="170"/>
        <w:rPr>
          <w:sz w:val="22"/>
          <w:szCs w:val="22"/>
        </w:rPr>
      </w:pPr>
      <w:r>
        <w:rPr>
          <w:sz w:val="22"/>
          <w:szCs w:val="22"/>
        </w:rPr>
        <w:t xml:space="preserve">c) </w:t>
      </w:r>
      <w:r>
        <w:rPr>
          <w:sz w:val="22"/>
          <w:szCs w:val="22"/>
        </w:rPr>
        <w:t xml:space="preserve">procedimentos para proteção de informações eletrônicas sensíveis que sejam transmitidas na forma de anexos; </w:t>
      </w:r>
    </w:p>
    <w:p w:rsidR="007303DA" w:rsidRDefault="007303DA" w:rsidP="007303DA">
      <w:pPr>
        <w:pStyle w:val="Default"/>
        <w:numPr>
          <w:ilvl w:val="0"/>
          <w:numId w:val="1"/>
        </w:numPr>
        <w:spacing w:after="170"/>
        <w:rPr>
          <w:sz w:val="22"/>
          <w:szCs w:val="22"/>
        </w:rPr>
      </w:pPr>
      <w:r>
        <w:rPr>
          <w:sz w:val="22"/>
          <w:szCs w:val="22"/>
        </w:rPr>
        <w:t xml:space="preserve">d) </w:t>
      </w:r>
      <w:r>
        <w:rPr>
          <w:sz w:val="22"/>
          <w:szCs w:val="22"/>
        </w:rPr>
        <w:t xml:space="preserve">política ou diretrizes que especifiquem o uso aceitável dos recursos eletrônicos de comunicação (ver 8.1.3); </w:t>
      </w:r>
    </w:p>
    <w:p w:rsidR="007303DA" w:rsidRDefault="007303DA" w:rsidP="007303DA">
      <w:pPr>
        <w:pStyle w:val="Default"/>
        <w:numPr>
          <w:ilvl w:val="0"/>
          <w:numId w:val="1"/>
        </w:numPr>
        <w:spacing w:after="170"/>
        <w:rPr>
          <w:sz w:val="22"/>
          <w:szCs w:val="22"/>
        </w:rPr>
      </w:pPr>
      <w:r>
        <w:rPr>
          <w:sz w:val="22"/>
          <w:szCs w:val="22"/>
        </w:rPr>
        <w:t xml:space="preserve">e) </w:t>
      </w:r>
      <w:r>
        <w:rPr>
          <w:sz w:val="22"/>
          <w:szCs w:val="22"/>
        </w:rPr>
        <w:t xml:space="preserve">que as responsabilidades de funcionários, fornecedores e partes externas possam comprometer a organização através de, por exemplo, difamação, assédio, falsa identidade, retransmissão de "correntes", compras não autorizadas etc.; </w:t>
      </w:r>
    </w:p>
    <w:p w:rsidR="007303DA" w:rsidRDefault="007303DA" w:rsidP="007303DA">
      <w:pPr>
        <w:pStyle w:val="Default"/>
        <w:numPr>
          <w:ilvl w:val="0"/>
          <w:numId w:val="1"/>
        </w:numPr>
        <w:spacing w:after="170"/>
        <w:rPr>
          <w:sz w:val="22"/>
          <w:szCs w:val="22"/>
        </w:rPr>
      </w:pPr>
      <w:r>
        <w:rPr>
          <w:sz w:val="22"/>
          <w:szCs w:val="22"/>
        </w:rPr>
        <w:t xml:space="preserve">f) </w:t>
      </w:r>
      <w:r>
        <w:rPr>
          <w:sz w:val="22"/>
          <w:szCs w:val="22"/>
        </w:rPr>
        <w:t xml:space="preserve">uso de técnicas de criptografia para, por exemplo, proteger a confidencialidade, a integridade e a autenticidade das informações (ver 10); </w:t>
      </w:r>
    </w:p>
    <w:p w:rsidR="007303DA" w:rsidRDefault="007303DA" w:rsidP="007303DA">
      <w:pPr>
        <w:pStyle w:val="Default"/>
        <w:numPr>
          <w:ilvl w:val="0"/>
          <w:numId w:val="1"/>
        </w:numPr>
        <w:rPr>
          <w:sz w:val="22"/>
          <w:szCs w:val="22"/>
        </w:rPr>
      </w:pPr>
      <w:r>
        <w:rPr>
          <w:sz w:val="22"/>
          <w:szCs w:val="22"/>
        </w:rPr>
        <w:t xml:space="preserve">g) </w:t>
      </w:r>
      <w:r>
        <w:rPr>
          <w:sz w:val="22"/>
          <w:szCs w:val="22"/>
        </w:rPr>
        <w:t xml:space="preserve">diretrizes de retenção e descarte para toda a correspondência de negócios, incluindo mensagens, de acordo com regulamentações e legislação locais e nacionais, relevantes. </w:t>
      </w:r>
    </w:p>
    <w:p w:rsidR="007303DA" w:rsidRDefault="007303DA" w:rsidP="007303DA">
      <w:pPr>
        <w:pStyle w:val="Default"/>
        <w:numPr>
          <w:ilvl w:val="0"/>
          <w:numId w:val="1"/>
        </w:numPr>
      </w:pPr>
    </w:p>
    <w:p w:rsidR="007303DA" w:rsidRDefault="007303DA" w:rsidP="007303DA">
      <w:pPr>
        <w:pStyle w:val="Default"/>
        <w:numPr>
          <w:ilvl w:val="0"/>
          <w:numId w:val="1"/>
        </w:numPr>
        <w:spacing w:after="170"/>
        <w:rPr>
          <w:sz w:val="22"/>
          <w:szCs w:val="22"/>
        </w:rPr>
      </w:pPr>
      <w:r>
        <w:rPr>
          <w:sz w:val="22"/>
          <w:szCs w:val="22"/>
        </w:rPr>
        <w:t>h) controles e restrições associados à retransmissão em recursos de comunicação como, por exemplo, a retransmissão automática de mensagens eletrônicas (</w:t>
      </w:r>
      <w:r>
        <w:rPr>
          <w:i/>
          <w:iCs/>
          <w:sz w:val="22"/>
          <w:szCs w:val="22"/>
        </w:rPr>
        <w:t>e-mails</w:t>
      </w:r>
      <w:r>
        <w:rPr>
          <w:sz w:val="22"/>
          <w:szCs w:val="22"/>
        </w:rPr>
        <w:t xml:space="preserve">) para endereços externos; </w:t>
      </w:r>
    </w:p>
    <w:p w:rsidR="007303DA" w:rsidRDefault="007303DA" w:rsidP="007303DA">
      <w:pPr>
        <w:pStyle w:val="Default"/>
        <w:numPr>
          <w:ilvl w:val="0"/>
          <w:numId w:val="1"/>
        </w:numPr>
        <w:spacing w:after="170"/>
        <w:rPr>
          <w:sz w:val="22"/>
          <w:szCs w:val="22"/>
        </w:rPr>
      </w:pPr>
      <w:r>
        <w:rPr>
          <w:sz w:val="22"/>
          <w:szCs w:val="22"/>
        </w:rPr>
        <w:t xml:space="preserve">i) orientar as pessoas para adotar precauções apropriadas não revelando informações confidenciais; </w:t>
      </w:r>
    </w:p>
    <w:p w:rsidR="007303DA" w:rsidRDefault="007303DA" w:rsidP="007303DA">
      <w:pPr>
        <w:pStyle w:val="Default"/>
        <w:numPr>
          <w:ilvl w:val="0"/>
          <w:numId w:val="1"/>
        </w:numPr>
        <w:spacing w:after="170"/>
        <w:rPr>
          <w:sz w:val="22"/>
          <w:szCs w:val="22"/>
        </w:rPr>
      </w:pPr>
      <w:r>
        <w:rPr>
          <w:sz w:val="22"/>
          <w:szCs w:val="22"/>
        </w:rPr>
        <w:t xml:space="preserve">j) não deixar informações críticas ou sensíveis em secretárias eletrônicas uma vez que elas podem ser acessadas por pessoas não autorizadas, armazenadas em sistemas comuns ou armazenadas de forma incorreta, por engano; </w:t>
      </w:r>
    </w:p>
    <w:p w:rsidR="007303DA" w:rsidRDefault="007303DA" w:rsidP="007303DA">
      <w:pPr>
        <w:pStyle w:val="Default"/>
        <w:numPr>
          <w:ilvl w:val="0"/>
          <w:numId w:val="1"/>
        </w:numPr>
        <w:rPr>
          <w:sz w:val="22"/>
          <w:szCs w:val="22"/>
        </w:rPr>
      </w:pPr>
      <w:r>
        <w:rPr>
          <w:sz w:val="22"/>
          <w:szCs w:val="22"/>
        </w:rPr>
        <w:t xml:space="preserve">k) lembrar as pessoas sobre os problemas do uso de aparelhos de fax, como: </w:t>
      </w:r>
    </w:p>
    <w:p w:rsidR="007303DA" w:rsidRDefault="007303DA" w:rsidP="007303DA">
      <w:pPr>
        <w:pStyle w:val="Default"/>
        <w:numPr>
          <w:ilvl w:val="0"/>
          <w:numId w:val="1"/>
        </w:numPr>
        <w:spacing w:after="170"/>
        <w:rPr>
          <w:sz w:val="22"/>
          <w:szCs w:val="22"/>
        </w:rPr>
      </w:pPr>
      <w:r>
        <w:rPr>
          <w:sz w:val="20"/>
          <w:szCs w:val="20"/>
        </w:rPr>
        <w:t xml:space="preserve">1) </w:t>
      </w:r>
      <w:r>
        <w:rPr>
          <w:sz w:val="22"/>
          <w:szCs w:val="22"/>
        </w:rPr>
        <w:t xml:space="preserve">acesso não autorizado a dispositivos para recuperação de mensagens; </w:t>
      </w:r>
    </w:p>
    <w:p w:rsidR="007303DA" w:rsidRDefault="007303DA" w:rsidP="007303DA">
      <w:pPr>
        <w:pStyle w:val="Default"/>
        <w:numPr>
          <w:ilvl w:val="0"/>
          <w:numId w:val="1"/>
        </w:numPr>
        <w:spacing w:after="170"/>
        <w:rPr>
          <w:sz w:val="22"/>
          <w:szCs w:val="22"/>
        </w:rPr>
      </w:pPr>
      <w:r>
        <w:rPr>
          <w:sz w:val="20"/>
          <w:szCs w:val="20"/>
        </w:rPr>
        <w:t xml:space="preserve">2) </w:t>
      </w:r>
      <w:r>
        <w:rPr>
          <w:sz w:val="22"/>
          <w:szCs w:val="22"/>
        </w:rPr>
        <w:t xml:space="preserve">programação de aparelhos, de forma deliberada ou acidental, para enviar mensagens para números específicos determinados; </w:t>
      </w:r>
    </w:p>
    <w:p w:rsidR="007303DA" w:rsidRDefault="007303DA" w:rsidP="007303DA">
      <w:pPr>
        <w:pStyle w:val="Default"/>
        <w:numPr>
          <w:ilvl w:val="0"/>
          <w:numId w:val="1"/>
        </w:numPr>
        <w:rPr>
          <w:sz w:val="22"/>
          <w:szCs w:val="22"/>
        </w:rPr>
      </w:pPr>
      <w:r>
        <w:rPr>
          <w:sz w:val="20"/>
          <w:szCs w:val="20"/>
        </w:rPr>
        <w:t xml:space="preserve">3) </w:t>
      </w:r>
      <w:r>
        <w:rPr>
          <w:sz w:val="22"/>
          <w:szCs w:val="22"/>
        </w:rPr>
        <w:t xml:space="preserve">envio de documentos e mensagens para número errado, seja por falha na discagem ou uso de número armazenado errado. </w:t>
      </w:r>
    </w:p>
    <w:p w:rsidR="007303DA" w:rsidRDefault="007303DA" w:rsidP="007303DA">
      <w:pPr>
        <w:pStyle w:val="Default"/>
        <w:numPr>
          <w:ilvl w:val="0"/>
          <w:numId w:val="1"/>
        </w:numPr>
        <w:rPr>
          <w:sz w:val="22"/>
          <w:szCs w:val="22"/>
        </w:rPr>
      </w:pPr>
    </w:p>
    <w:p w:rsidR="007303DA" w:rsidRDefault="007303DA" w:rsidP="007303DA">
      <w:pPr>
        <w:pStyle w:val="Default"/>
        <w:numPr>
          <w:ilvl w:val="0"/>
          <w:numId w:val="1"/>
        </w:numPr>
        <w:spacing w:after="240"/>
        <w:jc w:val="both"/>
        <w:rPr>
          <w:sz w:val="22"/>
          <w:szCs w:val="22"/>
        </w:rPr>
      </w:pPr>
      <w:r>
        <w:rPr>
          <w:sz w:val="22"/>
          <w:szCs w:val="22"/>
        </w:rPr>
        <w:t xml:space="preserve">Adicionalmente, convém que as pessoas sejam lembradas de que não devem manter conversas confidenciais em locais públicos, escritórios abertos, canais de comunicação inseguros e locais de reunião. </w:t>
      </w:r>
    </w:p>
    <w:p w:rsidR="007303DA" w:rsidRDefault="007303DA" w:rsidP="007303DA">
      <w:pPr>
        <w:pStyle w:val="Default"/>
        <w:numPr>
          <w:ilvl w:val="0"/>
          <w:numId w:val="1"/>
        </w:numPr>
        <w:spacing w:after="240"/>
        <w:jc w:val="both"/>
        <w:rPr>
          <w:sz w:val="22"/>
          <w:szCs w:val="22"/>
        </w:rPr>
      </w:pPr>
      <w:r>
        <w:rPr>
          <w:sz w:val="22"/>
          <w:szCs w:val="22"/>
        </w:rPr>
        <w:t xml:space="preserve">Convém que os serviços de transferência de informações estejam de acordo com os requisitos legais pertinentes (ver 18.1). </w:t>
      </w:r>
    </w:p>
    <w:p w:rsidR="007303DA" w:rsidRDefault="007303DA" w:rsidP="007303DA">
      <w:pPr>
        <w:pStyle w:val="Default"/>
        <w:numPr>
          <w:ilvl w:val="0"/>
          <w:numId w:val="1"/>
        </w:numPr>
        <w:spacing w:after="240"/>
        <w:jc w:val="both"/>
        <w:rPr>
          <w:sz w:val="22"/>
          <w:szCs w:val="22"/>
        </w:rPr>
      </w:pPr>
      <w:r>
        <w:rPr>
          <w:sz w:val="22"/>
          <w:szCs w:val="22"/>
          <w:u w:val="single"/>
        </w:rPr>
        <w:t xml:space="preserve">Informações adicionais </w:t>
      </w:r>
    </w:p>
    <w:p w:rsidR="007303DA" w:rsidRDefault="007303DA" w:rsidP="007303DA">
      <w:pPr>
        <w:pStyle w:val="Default"/>
        <w:numPr>
          <w:ilvl w:val="0"/>
          <w:numId w:val="1"/>
        </w:numPr>
        <w:spacing w:after="240"/>
        <w:jc w:val="both"/>
        <w:rPr>
          <w:sz w:val="22"/>
          <w:szCs w:val="22"/>
        </w:rPr>
      </w:pPr>
      <w:r>
        <w:rPr>
          <w:sz w:val="22"/>
          <w:szCs w:val="22"/>
        </w:rPr>
        <w:t xml:space="preserve">A transferência de informações pode ocorrer através do uso de vários tipos diferentes de recursos de comunicação, incluindo mensagens eletrônicas </w:t>
      </w:r>
      <w:r>
        <w:rPr>
          <w:i/>
          <w:iCs/>
          <w:sz w:val="22"/>
          <w:szCs w:val="22"/>
        </w:rPr>
        <w:t>(e-mails)</w:t>
      </w:r>
      <w:r>
        <w:rPr>
          <w:sz w:val="22"/>
          <w:szCs w:val="22"/>
        </w:rPr>
        <w:t xml:space="preserve">, voz, fax e vídeo. </w:t>
      </w:r>
    </w:p>
    <w:p w:rsidR="007303DA" w:rsidRDefault="007303DA" w:rsidP="007303DA">
      <w:pPr>
        <w:pStyle w:val="Default"/>
        <w:numPr>
          <w:ilvl w:val="0"/>
          <w:numId w:val="1"/>
        </w:numPr>
        <w:spacing w:after="240"/>
        <w:jc w:val="both"/>
        <w:rPr>
          <w:sz w:val="22"/>
          <w:szCs w:val="22"/>
        </w:rPr>
      </w:pPr>
      <w:r>
        <w:rPr>
          <w:sz w:val="22"/>
          <w:szCs w:val="22"/>
        </w:rPr>
        <w:t xml:space="preserve">A transferência de </w:t>
      </w:r>
      <w:r>
        <w:rPr>
          <w:i/>
          <w:iCs/>
          <w:sz w:val="22"/>
          <w:szCs w:val="22"/>
        </w:rPr>
        <w:t xml:space="preserve">softwares </w:t>
      </w:r>
      <w:r>
        <w:rPr>
          <w:sz w:val="22"/>
          <w:szCs w:val="22"/>
        </w:rPr>
        <w:t>pode ocorrer de diferentes formas, incluindo a baixa (</w:t>
      </w:r>
      <w:r>
        <w:rPr>
          <w:i/>
          <w:iCs/>
          <w:sz w:val="22"/>
          <w:szCs w:val="22"/>
        </w:rPr>
        <w:t>download</w:t>
      </w:r>
      <w:r>
        <w:rPr>
          <w:sz w:val="22"/>
          <w:szCs w:val="22"/>
        </w:rPr>
        <w:t xml:space="preserve">) da </w:t>
      </w:r>
      <w:r>
        <w:rPr>
          <w:i/>
          <w:iCs/>
          <w:sz w:val="22"/>
          <w:szCs w:val="22"/>
        </w:rPr>
        <w:t xml:space="preserve">internet </w:t>
      </w:r>
      <w:r>
        <w:rPr>
          <w:sz w:val="22"/>
          <w:szCs w:val="22"/>
        </w:rPr>
        <w:t xml:space="preserve">e a aquisição junto a fornecedores que vendem produtos em série. </w:t>
      </w:r>
    </w:p>
    <w:p w:rsidR="007303DA" w:rsidRDefault="007303DA" w:rsidP="007303DA">
      <w:pPr>
        <w:pStyle w:val="PargrafodaLista"/>
        <w:numPr>
          <w:ilvl w:val="0"/>
          <w:numId w:val="1"/>
        </w:numPr>
      </w:pPr>
      <w:r>
        <w:lastRenderedPageBreak/>
        <w:t>Convém que sejam considerados os controles para os requisitos e as possíveis implicações nos negócios, nos aspectos legais e na segurança, relacionadas</w:t>
      </w:r>
    </w:p>
    <w:sectPr w:rsidR="007303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C1A2C29"/>
    <w:multiLevelType w:val="hybridMultilevel"/>
    <w:tmpl w:val="891F7B2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E386590"/>
    <w:multiLevelType w:val="hybridMultilevel"/>
    <w:tmpl w:val="1C994E6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2A"/>
    <w:rsid w:val="001050EF"/>
    <w:rsid w:val="003A0B98"/>
    <w:rsid w:val="0040407A"/>
    <w:rsid w:val="007303DA"/>
    <w:rsid w:val="00827D31"/>
    <w:rsid w:val="00875110"/>
    <w:rsid w:val="008B465C"/>
    <w:rsid w:val="00946510"/>
    <w:rsid w:val="00A53656"/>
    <w:rsid w:val="00AA5E93"/>
    <w:rsid w:val="00D1202A"/>
    <w:rsid w:val="00DA3835"/>
    <w:rsid w:val="00E90B09"/>
    <w:rsid w:val="00EF7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983E"/>
  <w15:chartTrackingRefBased/>
  <w15:docId w15:val="{6C2731E1-67A6-4F81-BE57-FF584C15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303DA"/>
    <w:pPr>
      <w:autoSpaceDE w:val="0"/>
      <w:autoSpaceDN w:val="0"/>
      <w:adjustRightInd w:val="0"/>
      <w:spacing w:after="0" w:line="240" w:lineRule="auto"/>
    </w:pPr>
    <w:rPr>
      <w:rFonts w:ascii="Arial" w:hAnsi="Arial" w:cs="Arial"/>
      <w:color w:val="000000"/>
      <w:sz w:val="24"/>
      <w:szCs w:val="24"/>
    </w:rPr>
  </w:style>
  <w:style w:type="paragraph" w:styleId="PargrafodaLista">
    <w:name w:val="List Paragraph"/>
    <w:basedOn w:val="Normal"/>
    <w:uiPriority w:val="34"/>
    <w:qFormat/>
    <w:rsid w:val="007303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6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685</Words>
  <Characters>3703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3</cp:revision>
  <dcterms:created xsi:type="dcterms:W3CDTF">2017-02-01T17:13:00Z</dcterms:created>
  <dcterms:modified xsi:type="dcterms:W3CDTF">2017-02-24T14:28:00Z</dcterms:modified>
</cp:coreProperties>
</file>