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2824DC0F" w14:textId="77777777" w:rsidTr="00B6729D">
        <w:tc>
          <w:tcPr>
            <w:tcW w:w="2410" w:type="dxa"/>
          </w:tcPr>
          <w:p w14:paraId="45A1BAB2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6C6F823" wp14:editId="7A2A3B91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8840BEA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665B0653C559494188090A6474BB43C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CC9F443" w14:textId="77777777" w:rsidR="00462496" w:rsidRPr="00944234" w:rsidRDefault="00944234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Consultoria de Tecnologia Digital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BC232ACC5104659A52B90C95D8CFD2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AAC8987" w14:textId="77777777" w:rsidR="00462496" w:rsidRPr="00944234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91AE106" w14:textId="77777777" w:rsidR="00462496" w:rsidRPr="00944234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7377827" w14:textId="77777777" w:rsidR="00462496" w:rsidRPr="0094423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60922E4" w14:textId="77777777" w:rsidR="00462496" w:rsidRPr="0094423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4AD3785" w14:textId="77777777" w:rsidTr="00B6729D">
        <w:tc>
          <w:tcPr>
            <w:tcW w:w="10490" w:type="dxa"/>
            <w:shd w:val="clear" w:color="auto" w:fill="B2B2B2"/>
          </w:tcPr>
          <w:p w14:paraId="578C83E8" w14:textId="77777777" w:rsidR="00462496" w:rsidRPr="00944234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27F961B7" w14:textId="77777777" w:rsidTr="00B6729D">
        <w:tc>
          <w:tcPr>
            <w:tcW w:w="10490" w:type="dxa"/>
          </w:tcPr>
          <w:p w14:paraId="4437B3CC" w14:textId="5F7CBE92" w:rsidR="00462496" w:rsidRPr="00323062" w:rsidRDefault="005E287E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E185ECE260FF4337835D621887913E1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3C094D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PR-0889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7315B0D62E9442B4B6D608DEF92C7A3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519711D0" w14:textId="77777777" w:rsidTr="00B6729D">
        <w:tc>
          <w:tcPr>
            <w:tcW w:w="10490" w:type="dxa"/>
            <w:shd w:val="clear" w:color="auto" w:fill="B2B2B2"/>
          </w:tcPr>
          <w:p w14:paraId="252683B2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B9343B6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4B996D37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7FFB77D" w14:textId="77777777" w:rsidR="00944234" w:rsidRPr="006B5BF2" w:rsidRDefault="00944234" w:rsidP="00944234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6B5BF2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082F0E74" w14:textId="77777777" w:rsidR="00944234" w:rsidRPr="00C74C1E" w:rsidRDefault="00944234" w:rsidP="00944234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>&lt;</w:t>
      </w:r>
      <w:r>
        <w:rPr>
          <w:rFonts w:ascii="Verdana" w:hAnsi="Verdana" w:cs="Arial"/>
          <w:snapToGrid w:val="0"/>
          <w:sz w:val="20"/>
          <w:szCs w:val="20"/>
        </w:rPr>
        <w:t>GTD.01.001 Consultoria de Tecnologia Digital</w:t>
      </w:r>
      <w:r w:rsidRPr="00C74C1E">
        <w:rPr>
          <w:rFonts w:ascii="Verdana" w:hAnsi="Verdana" w:cs="Arial"/>
          <w:snapToGrid w:val="0"/>
          <w:sz w:val="20"/>
          <w:szCs w:val="20"/>
        </w:rPr>
        <w:t>&gt;</w:t>
      </w:r>
    </w:p>
    <w:p w14:paraId="104A3C07" w14:textId="77777777" w:rsidR="00944234" w:rsidRPr="00C74C1E" w:rsidRDefault="00944234" w:rsidP="00944234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0AEDA1C0" w14:textId="77777777" w:rsidR="00944234" w:rsidRPr="00F62C58" w:rsidRDefault="00944234" w:rsidP="00944234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596307FC" w14:textId="77777777" w:rsidR="00944234" w:rsidRPr="00F62C58" w:rsidRDefault="00944234" w:rsidP="00944234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F62C58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47362218" w14:textId="77777777" w:rsidR="00944234" w:rsidRPr="00F62C58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F62C58">
        <w:rPr>
          <w:rFonts w:ascii="Verdana" w:hAnsi="Verdana" w:cs="Verdana"/>
          <w:color w:val="000000"/>
          <w:sz w:val="20"/>
          <w:szCs w:val="20"/>
        </w:rPr>
        <w:t xml:space="preserve">Estabelecer um procedimento para o processo de Consultoria Tecnológica </w:t>
      </w:r>
      <w:r>
        <w:rPr>
          <w:rFonts w:ascii="Verdana" w:hAnsi="Verdana" w:cs="Verdana"/>
          <w:color w:val="000000"/>
          <w:sz w:val="20"/>
          <w:szCs w:val="20"/>
        </w:rPr>
        <w:t xml:space="preserve">para </w:t>
      </w:r>
      <w:r w:rsidRPr="00F62C58">
        <w:rPr>
          <w:rFonts w:ascii="Verdana" w:hAnsi="Verdana" w:cs="Verdana"/>
          <w:color w:val="000000"/>
          <w:sz w:val="20"/>
          <w:szCs w:val="20"/>
        </w:rPr>
        <w:t xml:space="preserve">viabilizar </w:t>
      </w:r>
      <w:r w:rsidRPr="00F62C58">
        <w:rPr>
          <w:rFonts w:ascii="Verdana" w:eastAsia="Times New Roman" w:hAnsi="Verdana" w:cs="Segoe UI"/>
          <w:sz w:val="20"/>
          <w:szCs w:val="20"/>
          <w:lang w:eastAsia="pt-BR"/>
        </w:rPr>
        <w:t>soluçõe</w:t>
      </w:r>
      <w:r>
        <w:rPr>
          <w:rFonts w:ascii="Verdana" w:eastAsia="Times New Roman" w:hAnsi="Verdana" w:cs="Segoe UI"/>
          <w:sz w:val="20"/>
          <w:szCs w:val="20"/>
          <w:lang w:eastAsia="pt-BR"/>
        </w:rPr>
        <w:t xml:space="preserve">s alinhadas às expectativas dos </w:t>
      </w:r>
      <w:r w:rsidRPr="00F62C58">
        <w:rPr>
          <w:rFonts w:ascii="Verdana" w:eastAsia="Times New Roman" w:hAnsi="Verdana" w:cs="Segoe UI"/>
          <w:sz w:val="20"/>
          <w:szCs w:val="20"/>
          <w:lang w:eastAsia="pt-BR"/>
        </w:rPr>
        <w:t xml:space="preserve">parceiros </w:t>
      </w:r>
      <w:r>
        <w:rPr>
          <w:rFonts w:ascii="Verdana" w:eastAsia="Times New Roman" w:hAnsi="Verdana" w:cs="Segoe UI"/>
          <w:sz w:val="20"/>
          <w:szCs w:val="20"/>
          <w:lang w:eastAsia="pt-BR"/>
        </w:rPr>
        <w:t xml:space="preserve">de negócio </w:t>
      </w:r>
      <w:r w:rsidRPr="00F62C58">
        <w:rPr>
          <w:rFonts w:ascii="Verdana" w:eastAsia="Times New Roman" w:hAnsi="Verdana" w:cs="Segoe UI"/>
          <w:sz w:val="20"/>
          <w:szCs w:val="20"/>
          <w:lang w:eastAsia="pt-BR"/>
        </w:rPr>
        <w:t>e à Estratégia da Empresa.</w:t>
      </w:r>
    </w:p>
    <w:p w14:paraId="02C6BA81" w14:textId="77777777" w:rsidR="00944234" w:rsidRPr="003F0D9C" w:rsidRDefault="00944234" w:rsidP="00944234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580C80" w14:textId="562334FF" w:rsidR="00944234" w:rsidRDefault="00944234" w:rsidP="003C094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681A5B08" w14:textId="0C435210" w:rsidR="003C094D" w:rsidRPr="003C094D" w:rsidRDefault="003C094D" w:rsidP="003C094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3C094D">
        <w:rPr>
          <w:rFonts w:ascii="Verdana" w:hAnsi="Verdana" w:cs="Arial"/>
          <w:snapToGrid w:val="0"/>
          <w:sz w:val="20"/>
          <w:szCs w:val="20"/>
        </w:rPr>
        <w:t>Demanda</w:t>
      </w:r>
    </w:p>
    <w:p w14:paraId="66E48887" w14:textId="5B170E1C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</w:t>
      </w:r>
      <w:r w:rsidR="003C094D">
        <w:rPr>
          <w:rFonts w:ascii="Verdana" w:hAnsi="Verdana" w:cs="Arial"/>
          <w:snapToGrid w:val="0"/>
          <w:sz w:val="20"/>
          <w:szCs w:val="20"/>
        </w:rPr>
        <w:t xml:space="preserve"> (Gestão de Demandas) -&gt;Demanda</w:t>
      </w:r>
      <w:r>
        <w:rPr>
          <w:rFonts w:ascii="Verdana" w:hAnsi="Verdana" w:cs="Arial"/>
          <w:snapToGrid w:val="0"/>
          <w:sz w:val="20"/>
          <w:szCs w:val="20"/>
        </w:rPr>
        <w:t xml:space="preserve"> não </w:t>
      </w:r>
      <w:r w:rsidR="003C094D">
        <w:rPr>
          <w:rFonts w:ascii="Verdana" w:hAnsi="Verdana" w:cs="Arial"/>
          <w:snapToGrid w:val="0"/>
          <w:sz w:val="20"/>
          <w:szCs w:val="20"/>
        </w:rPr>
        <w:t>priorizada</w:t>
      </w:r>
    </w:p>
    <w:p w14:paraId="685690D0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Necessidade de reabrir um briefing não priorizado</w:t>
      </w:r>
    </w:p>
    <w:p w14:paraId="5BFE595F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Portfólio) -&gt;Status da carteira atualizado</w:t>
      </w:r>
    </w:p>
    <w:p w14:paraId="47B77B3C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934130">
        <w:rPr>
          <w:rFonts w:ascii="Verdana" w:hAnsi="Verdana" w:cs="Arial"/>
          <w:snapToGrid w:val="0"/>
          <w:sz w:val="20"/>
          <w:szCs w:val="20"/>
        </w:rPr>
        <w:t>PEN</w:t>
      </w:r>
      <w:r>
        <w:rPr>
          <w:rFonts w:ascii="Verdana" w:hAnsi="Verdana" w:cs="Arial"/>
          <w:snapToGrid w:val="0"/>
          <w:sz w:val="20"/>
          <w:szCs w:val="20"/>
        </w:rPr>
        <w:t xml:space="preserve"> (Desdobramento da Estratégia Corporativa) -&gt; Plano operacional aprovado</w:t>
      </w:r>
    </w:p>
    <w:p w14:paraId="3EDCDC2B" w14:textId="6554215C" w:rsidR="003C094D" w:rsidRPr="003C094D" w:rsidRDefault="003C094D" w:rsidP="003C094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GTD.05.002 (</w:t>
      </w:r>
      <w:r w:rsidRPr="003C094D">
        <w:rPr>
          <w:rFonts w:ascii="Verdana" w:hAnsi="Verdana" w:cs="Arial"/>
          <w:snapToGrid w:val="0"/>
          <w:sz w:val="20"/>
          <w:szCs w:val="20"/>
        </w:rPr>
        <w:t>Gestão de Problemas) -&gt; Necessidade de nova demanda</w:t>
      </w:r>
    </w:p>
    <w:p w14:paraId="64FF91F3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Rituais dos processos</w:t>
      </w:r>
    </w:p>
    <w:p w14:paraId="3B8EF95C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Solicitações pontuais do dia a dia</w:t>
      </w:r>
    </w:p>
    <w:p w14:paraId="77010F57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Proposição do relacionamento</w:t>
      </w:r>
    </w:p>
    <w:p w14:paraId="3ADBD791" w14:textId="57D1AE37" w:rsidR="00944234" w:rsidRDefault="00944234" w:rsidP="003C094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Entregas) -&gt; Cronograma das releases atualizado</w:t>
      </w:r>
    </w:p>
    <w:p w14:paraId="221564C0" w14:textId="4CFA6DC4" w:rsidR="003C094D" w:rsidRDefault="003C094D" w:rsidP="003C094D">
      <w:pPr>
        <w:tabs>
          <w:tab w:val="left" w:pos="9630"/>
        </w:tabs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GTD.07.001 (Planejamento da Arquitetura Corporativa -&gt; Roadmap e Mapa divulgado</w:t>
      </w:r>
      <w:r>
        <w:rPr>
          <w:rFonts w:ascii="Verdana" w:hAnsi="Verdana" w:cs="Arial"/>
          <w:snapToGrid w:val="0"/>
          <w:sz w:val="20"/>
          <w:szCs w:val="20"/>
        </w:rPr>
        <w:tab/>
      </w:r>
    </w:p>
    <w:p w14:paraId="639D858C" w14:textId="3B8BC01C" w:rsidR="003C094D" w:rsidRDefault="003C094D" w:rsidP="003C094D">
      <w:pPr>
        <w:tabs>
          <w:tab w:val="left" w:pos="9630"/>
        </w:tabs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GTD.07.001 (Planejamento da Arquitetura Corporativa -&gt; Não requer atualização na documento de arquitetura</w:t>
      </w:r>
      <w:r>
        <w:rPr>
          <w:rFonts w:ascii="Verdana" w:hAnsi="Verdana" w:cs="Arial"/>
          <w:snapToGrid w:val="0"/>
          <w:sz w:val="20"/>
          <w:szCs w:val="20"/>
        </w:rPr>
        <w:tab/>
      </w:r>
    </w:p>
    <w:p w14:paraId="12B1AEC0" w14:textId="77777777" w:rsidR="003C094D" w:rsidRDefault="003C094D" w:rsidP="003C094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1EE9A4BA" w14:textId="77777777" w:rsidR="00944234" w:rsidRDefault="00944234" w:rsidP="00944234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04613F40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Briefing não envolvem TD</w:t>
      </w:r>
    </w:p>
    <w:p w14:paraId="21C43F43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Briefing arquivado</w:t>
      </w:r>
    </w:p>
    <w:p w14:paraId="00BBABFC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 (Gestão de Demandas) -&gt; Demanda validada</w:t>
      </w:r>
    </w:p>
    <w:p w14:paraId="3AC19054" w14:textId="77777777" w:rsidR="00944234" w:rsidRDefault="00944234" w:rsidP="00944234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2ECABFAF" w14:textId="77777777" w:rsidR="00944234" w:rsidRDefault="00944234" w:rsidP="00944234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328615C" w14:textId="77777777" w:rsidR="00944234" w:rsidRDefault="00944234" w:rsidP="00944234">
      <w:pPr>
        <w:tabs>
          <w:tab w:val="num" w:pos="426"/>
        </w:tabs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 w:rsidRPr="00470DC3">
        <w:rPr>
          <w:rFonts w:ascii="Verdana" w:hAnsi="Verdana" w:cstheme="minorHAnsi"/>
          <w:b/>
          <w:snapToGrid w:val="0"/>
          <w:sz w:val="20"/>
          <w:szCs w:val="20"/>
        </w:rPr>
        <w:t>GRP</w:t>
      </w:r>
      <w:r>
        <w:rPr>
          <w:rFonts w:ascii="Verdana" w:hAnsi="Verdana" w:cstheme="minorHAnsi"/>
          <w:snapToGrid w:val="0"/>
          <w:sz w:val="20"/>
          <w:szCs w:val="20"/>
        </w:rPr>
        <w:t>: Gerente de Relacionamento com Parceiros</w:t>
      </w:r>
    </w:p>
    <w:p w14:paraId="2F2BD686" w14:textId="77777777" w:rsidR="00944234" w:rsidRPr="00E4692E" w:rsidRDefault="00944234" w:rsidP="00944234">
      <w:pPr>
        <w:tabs>
          <w:tab w:val="num" w:pos="426"/>
        </w:tabs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b/>
          <w:snapToGrid w:val="0"/>
          <w:sz w:val="20"/>
          <w:szCs w:val="20"/>
        </w:rPr>
        <w:t xml:space="preserve">DA: </w:t>
      </w:r>
      <w:r>
        <w:rPr>
          <w:rFonts w:ascii="Verdana" w:hAnsi="Verdana" w:cstheme="minorHAnsi"/>
          <w:snapToGrid w:val="0"/>
          <w:sz w:val="20"/>
          <w:szCs w:val="20"/>
        </w:rPr>
        <w:t>Diretoria de Aplicações</w:t>
      </w:r>
    </w:p>
    <w:p w14:paraId="3FD18CD3" w14:textId="77777777" w:rsidR="00944234" w:rsidRPr="00470DC3" w:rsidRDefault="00944234" w:rsidP="00944234">
      <w:pPr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 w:rsidRPr="00470DC3">
        <w:rPr>
          <w:rFonts w:ascii="Verdana" w:hAnsi="Verdana" w:cstheme="minorHAnsi"/>
          <w:b/>
          <w:snapToGrid w:val="0"/>
          <w:sz w:val="20"/>
          <w:szCs w:val="20"/>
        </w:rPr>
        <w:t>Briefing</w:t>
      </w:r>
      <w:r>
        <w:rPr>
          <w:rFonts w:ascii="Verdana" w:hAnsi="Verdana" w:cstheme="minorHAnsi"/>
          <w:snapToGrid w:val="0"/>
          <w:sz w:val="20"/>
          <w:szCs w:val="20"/>
        </w:rPr>
        <w:t xml:space="preserve">: </w:t>
      </w:r>
      <w:r w:rsidRPr="00470DC3">
        <w:rPr>
          <w:rFonts w:ascii="Verdana" w:hAnsi="Verdana" w:cstheme="minorHAnsi"/>
          <w:snapToGrid w:val="0"/>
          <w:sz w:val="20"/>
          <w:szCs w:val="20"/>
        </w:rPr>
        <w:t>Solicitação inicial da necessidade de negócio para evoluções e/ou projetos sistêmicos realizados pelo parceiro de negócio, GRP ou mesmo parceiros internos de TD através da ferramenta disponível no portal de TD.</w:t>
      </w:r>
    </w:p>
    <w:p w14:paraId="651452B1" w14:textId="77777777" w:rsidR="00944234" w:rsidRPr="00470DC3" w:rsidRDefault="00944234" w:rsidP="00944234">
      <w:pPr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 w:rsidRPr="00470DC3">
        <w:rPr>
          <w:rFonts w:ascii="Verdana" w:hAnsi="Verdana" w:cstheme="minorHAnsi"/>
          <w:b/>
          <w:snapToGrid w:val="0"/>
          <w:sz w:val="20"/>
          <w:szCs w:val="20"/>
        </w:rPr>
        <w:t>Demanda</w:t>
      </w:r>
      <w:r w:rsidRPr="00470DC3">
        <w:rPr>
          <w:rFonts w:ascii="Verdana" w:hAnsi="Verdana" w:cstheme="minorHAnsi"/>
          <w:snapToGrid w:val="0"/>
          <w:sz w:val="20"/>
          <w:szCs w:val="20"/>
        </w:rPr>
        <w:t xml:space="preserve">: Detalhamento da necessidade de negócio e seus requerimentos, realizado pelo GRP com suporte do parceiro de negócio através da ferramenta desenvolvida e publicada no portal de TD. Esta atividade é realizada pelo GRP após a qualificação do briefing. </w:t>
      </w:r>
    </w:p>
    <w:p w14:paraId="57B53A8C" w14:textId="77777777" w:rsidR="00944234" w:rsidRPr="003F0D9C" w:rsidRDefault="00944234" w:rsidP="00944234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E93FC6D" w14:textId="77777777" w:rsidR="00944234" w:rsidRPr="003F0D9C" w:rsidRDefault="00944234" w:rsidP="00944234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6E47CD31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6.1. Escrever o Briefing </w:t>
      </w:r>
    </w:p>
    <w:p w14:paraId="5397CAB5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Processo onde é criado/preenchido o briefing pelos parceiros de negócio e parceiros internos de TD ou GRP quando há necessidade de implementar iniciativas com envolvimento de TD.</w:t>
      </w:r>
      <w:r w:rsidRPr="00E4692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1486FFA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Responsáveis: Parceiros Internos e Externos, Infraestrutura, Aplicações e GRPs.</w:t>
      </w:r>
    </w:p>
    <w:p w14:paraId="52FC84B7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3C7C317B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6.2. Verificar necessidade de reescrever o Briefing </w:t>
      </w:r>
    </w:p>
    <w:p w14:paraId="03830830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 xml:space="preserve">Avaliar se há necessidade de </w:t>
      </w:r>
      <w:r>
        <w:rPr>
          <w:rFonts w:ascii="Verdana" w:hAnsi="Verdana" w:cs="Arial"/>
          <w:snapToGrid w:val="0"/>
          <w:sz w:val="20"/>
          <w:szCs w:val="20"/>
        </w:rPr>
        <w:t>reescrever o Briefing após análise da equipe de TD de Gestão de Demandas</w:t>
      </w:r>
    </w:p>
    <w:p w14:paraId="54DDDE5F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Briefing com necessidade de detalhamento -&gt; Ir para o passo 6.3</w:t>
      </w:r>
    </w:p>
    <w:p w14:paraId="5EA8C08C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 xml:space="preserve">Briefing arquivado </w:t>
      </w:r>
    </w:p>
    <w:p w14:paraId="0AEF9321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 xml:space="preserve">Responsáveis: </w:t>
      </w:r>
      <w:r>
        <w:rPr>
          <w:rFonts w:ascii="Verdana" w:hAnsi="Verdana" w:cs="Arial"/>
          <w:snapToGrid w:val="0"/>
          <w:sz w:val="20"/>
          <w:szCs w:val="20"/>
        </w:rPr>
        <w:t>GRPs</w:t>
      </w:r>
    </w:p>
    <w:p w14:paraId="23EC0B6B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317EC4B7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6.3. Reescrever o Briefing</w:t>
      </w:r>
    </w:p>
    <w:p w14:paraId="674D66D6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Após analise da equipe de TD Gestão de Demandas, se faz necessário adicionar informações ou reescrever informações no Briefing.</w:t>
      </w:r>
    </w:p>
    <w:p w14:paraId="1F6F0F17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 xml:space="preserve">Responsáveis: </w:t>
      </w:r>
      <w:r>
        <w:rPr>
          <w:rFonts w:ascii="Verdana" w:hAnsi="Verdana" w:cs="Arial"/>
          <w:snapToGrid w:val="0"/>
          <w:sz w:val="20"/>
          <w:szCs w:val="20"/>
        </w:rPr>
        <w:t>GRPs</w:t>
      </w:r>
    </w:p>
    <w:p w14:paraId="02A295B0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32553A7C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6.4. Avaliar o Briefing</w:t>
      </w:r>
    </w:p>
    <w:p w14:paraId="0AB16DB6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O GRP faz uma validação para checar se todos os campos do formulário estão preenchidos corretamente.</w:t>
      </w:r>
    </w:p>
    <w:p w14:paraId="53CA8E3F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Briefing com solução por TD -&gt; Ir para o passo 6.5</w:t>
      </w:r>
    </w:p>
    <w:p w14:paraId="1CBFEA65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Briefing não envolvem TD</w:t>
      </w:r>
    </w:p>
    <w:p w14:paraId="098FE090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 xml:space="preserve">Responsáveis: </w:t>
      </w:r>
      <w:r>
        <w:rPr>
          <w:rFonts w:ascii="Verdana" w:hAnsi="Verdana" w:cs="Arial"/>
          <w:snapToGrid w:val="0"/>
          <w:sz w:val="20"/>
          <w:szCs w:val="20"/>
        </w:rPr>
        <w:t>GRPs</w:t>
      </w:r>
    </w:p>
    <w:p w14:paraId="6FA6ACCE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8405963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6.5. Qualificar o Briefing</w:t>
      </w:r>
    </w:p>
    <w:p w14:paraId="07B2233A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A etapa de qualificação de briefing consiste na identificação, levantamento e preenchimento dos critérios de priorização junto aos parceiros de negócio e internos de TD dos briefings recebidos. Após esta etapa a área interna de TD avaliará quais serão os briefings priorizados de acordo o seu valor para o negócio (critérios de priorização), disponibilidade financeira e capacidade de entrega de TD.</w:t>
      </w:r>
    </w:p>
    <w:p w14:paraId="57FE3000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Briefing priorizado -&gt; Ir para o passo 6.6</w:t>
      </w:r>
    </w:p>
    <w:p w14:paraId="4D84583A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>Briefing não priorizado -&gt; Ir para o passo 6.9</w:t>
      </w:r>
    </w:p>
    <w:p w14:paraId="693975F2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4692E">
        <w:rPr>
          <w:rFonts w:ascii="Verdana" w:hAnsi="Verdana" w:cs="Arial"/>
          <w:snapToGrid w:val="0"/>
          <w:sz w:val="20"/>
          <w:szCs w:val="20"/>
        </w:rPr>
        <w:t xml:space="preserve">Responsáveis: </w:t>
      </w:r>
      <w:r>
        <w:rPr>
          <w:rFonts w:ascii="Verdana" w:hAnsi="Verdana" w:cs="Arial"/>
          <w:snapToGrid w:val="0"/>
          <w:sz w:val="20"/>
          <w:szCs w:val="20"/>
        </w:rPr>
        <w:t>GRPs</w:t>
      </w:r>
    </w:p>
    <w:p w14:paraId="5C6EACB0" w14:textId="77777777" w:rsidR="00944234" w:rsidRDefault="00944234" w:rsidP="00944234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CE3CBBC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6.6. Detalhar os requisitos de negócio</w:t>
      </w:r>
    </w:p>
    <w:p w14:paraId="6A0B9F12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E4692E">
        <w:rPr>
          <w:rFonts w:ascii="Verdana" w:hAnsi="Verdana" w:cstheme="minorHAnsi"/>
          <w:snapToGrid w:val="0"/>
          <w:sz w:val="20"/>
          <w:szCs w:val="20"/>
        </w:rPr>
        <w:t>É necessário preencher a Planilha de Requisitos para detalhar as necessidades da área de negócio.</w:t>
      </w:r>
    </w:p>
    <w:p w14:paraId="5AE26315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GRPs</w:t>
      </w:r>
    </w:p>
    <w:p w14:paraId="3A000BE6" w14:textId="77777777" w:rsidR="00944234" w:rsidRDefault="00944234" w:rsidP="00944234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ED54648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6.7. Transformar o Briefing em demanda</w:t>
      </w:r>
    </w:p>
    <w:p w14:paraId="46F5F5D2" w14:textId="77777777" w:rsidR="00944234" w:rsidRDefault="00944234" w:rsidP="00944234">
      <w:pPr>
        <w:autoSpaceDE w:val="0"/>
        <w:autoSpaceDN w:val="0"/>
        <w:adjustRightInd w:val="0"/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É</w:t>
      </w:r>
      <w:r w:rsidRPr="00080728">
        <w:rPr>
          <w:rFonts w:ascii="Verdana" w:hAnsi="Verdana" w:cs="Arial"/>
          <w:snapToGrid w:val="0"/>
          <w:sz w:val="20"/>
          <w:szCs w:val="20"/>
        </w:rPr>
        <w:t xml:space="preserve"> o </w:t>
      </w:r>
      <w:r>
        <w:rPr>
          <w:rFonts w:ascii="Verdana" w:hAnsi="Verdana" w:cs="Arial"/>
          <w:snapToGrid w:val="0"/>
          <w:sz w:val="20"/>
          <w:szCs w:val="20"/>
        </w:rPr>
        <w:t xml:space="preserve">processo de transformação do Briefing em demanda. Esta </w:t>
      </w:r>
      <w:r w:rsidRPr="00233F04">
        <w:rPr>
          <w:rFonts w:ascii="Verdana" w:hAnsi="Verdana" w:cs="Arial"/>
          <w:snapToGrid w:val="0"/>
          <w:sz w:val="20"/>
          <w:szCs w:val="20"/>
        </w:rPr>
        <w:t xml:space="preserve">etapa </w:t>
      </w:r>
      <w:r>
        <w:rPr>
          <w:rFonts w:ascii="Verdana" w:hAnsi="Verdana" w:cs="Arial"/>
          <w:snapToGrid w:val="0"/>
          <w:sz w:val="20"/>
          <w:szCs w:val="20"/>
        </w:rPr>
        <w:t>é essencial para a continuidade do processo de consultoria de TD e de Gestão de demandas. No final desta etapa a DA terá informações para validar as demandas enviadas pela GRP e, que caso estejam preenchidas corretamente, servirão de base avaliação e levantamento das estimativas, custo e prazos da demanda.</w:t>
      </w:r>
    </w:p>
    <w:p w14:paraId="64E465EF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GRPs</w:t>
      </w:r>
    </w:p>
    <w:p w14:paraId="29276A33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8220157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6.8. Avaliar a demanda</w:t>
      </w:r>
    </w:p>
    <w:p w14:paraId="7B9A4623" w14:textId="77777777" w:rsidR="00944234" w:rsidRPr="00E4692E" w:rsidRDefault="00944234" w:rsidP="00944234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Gestão de Demandas</w:t>
      </w:r>
      <w:r w:rsidRPr="00E4692E">
        <w:rPr>
          <w:rFonts w:ascii="Verdana" w:hAnsi="Verdana" w:cs="Arial"/>
          <w:snapToGrid w:val="0"/>
          <w:sz w:val="20"/>
          <w:szCs w:val="20"/>
        </w:rPr>
        <w:t xml:space="preserve"> faz uma validação para checar se todos os campos do formulário estão preenchidos corretamente.</w:t>
      </w:r>
    </w:p>
    <w:p w14:paraId="68819D41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 w:rsidRPr="00CB0063">
        <w:rPr>
          <w:rFonts w:ascii="Verdana" w:hAnsi="Verdana" w:cs="Verdana"/>
          <w:color w:val="000000"/>
          <w:sz w:val="20"/>
          <w:szCs w:val="20"/>
        </w:rPr>
        <w:t>Demanda não validada -&gt; Ir para o passo 6.6</w:t>
      </w:r>
    </w:p>
    <w:p w14:paraId="4F7AC039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Demanda validada -&gt; Ir para o processo de Gestão de Demandas</w:t>
      </w:r>
    </w:p>
    <w:p w14:paraId="332D1CFB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Infra Estrutura e Aplicações</w:t>
      </w:r>
    </w:p>
    <w:p w14:paraId="64BD8D97" w14:textId="77777777" w:rsidR="00944234" w:rsidRDefault="00944234" w:rsidP="00944234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6EDD3D6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6.9. Atualizar status nos documentos</w:t>
      </w:r>
    </w:p>
    <w:p w14:paraId="7CE4ADDA" w14:textId="77777777" w:rsidR="00944234" w:rsidRPr="00CB0063" w:rsidRDefault="00944234" w:rsidP="00944234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É necessário atualizar o status do briefing no Sharepoint.</w:t>
      </w:r>
    </w:p>
    <w:p w14:paraId="6BEE80B9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GRPs</w:t>
      </w:r>
    </w:p>
    <w:p w14:paraId="37CD3537" w14:textId="77777777" w:rsidR="00944234" w:rsidRDefault="00944234" w:rsidP="00944234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67F4A22" w14:textId="77777777" w:rsidR="00944234" w:rsidRPr="003F0D9C" w:rsidRDefault="00944234" w:rsidP="00944234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C4BDB4E" w14:textId="77777777" w:rsidR="00944234" w:rsidRPr="003F0D9C" w:rsidRDefault="00944234" w:rsidP="00944234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35294130" w14:textId="77777777" w:rsidR="00944234" w:rsidRPr="003F0D9C" w:rsidRDefault="00944234" w:rsidP="00944234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Pesquisa de Satisfação dos GRPs</w:t>
      </w:r>
    </w:p>
    <w:p w14:paraId="0AB6A00A" w14:textId="77777777" w:rsidR="00944234" w:rsidRPr="003F0D9C" w:rsidRDefault="00944234" w:rsidP="00944234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264BB1" w14:textId="77777777" w:rsidR="00944234" w:rsidRPr="003F0D9C" w:rsidRDefault="00944234" w:rsidP="00944234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lastRenderedPageBreak/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273297A6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IT-2036 Verificar necessidade de reescrever o Briefing</w:t>
      </w:r>
    </w:p>
    <w:p w14:paraId="5AF086AE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IT-2035 Escrever o Briefing</w:t>
      </w:r>
    </w:p>
    <w:p w14:paraId="586BB712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IT-2037 Qualificar o Briefing </w:t>
      </w:r>
    </w:p>
    <w:p w14:paraId="375B2307" w14:textId="77777777" w:rsidR="00944234" w:rsidRDefault="00944234" w:rsidP="00944234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IT-2038 Transformar o Briefing em demanda</w:t>
      </w:r>
    </w:p>
    <w:p w14:paraId="3E5B9630" w14:textId="77777777" w:rsidR="00944234" w:rsidRDefault="00944234" w:rsidP="00944234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A9D96B0" w14:textId="77777777" w:rsidR="00944234" w:rsidRPr="003F0D9C" w:rsidRDefault="00944234" w:rsidP="00944234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6AAAC350" w14:textId="77777777" w:rsidR="00944234" w:rsidRPr="00531AE3" w:rsidRDefault="00944234" w:rsidP="00944234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3413CB0D" w14:textId="77777777" w:rsidR="00944234" w:rsidRDefault="00944234" w:rsidP="00944234">
      <w:pPr>
        <w:spacing w:after="0"/>
        <w:rPr>
          <w:rFonts w:ascii="Verdana" w:hAnsi="Verdana"/>
          <w:sz w:val="20"/>
          <w:szCs w:val="20"/>
        </w:rPr>
      </w:pPr>
    </w:p>
    <w:p w14:paraId="76617647" w14:textId="77777777" w:rsidR="00944234" w:rsidRDefault="00944234" w:rsidP="00944234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140389B7" w14:textId="77777777" w:rsidR="00531AE3" w:rsidRDefault="00944234" w:rsidP="00944234">
      <w:pPr>
        <w:autoSpaceDE w:val="0"/>
        <w:autoSpaceDN w:val="0"/>
        <w:adjustRightInd w:val="0"/>
        <w:spacing w:after="0"/>
        <w:ind w:left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234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C094D"/>
    <w:rsid w:val="003D248F"/>
    <w:rsid w:val="00440AD7"/>
    <w:rsid w:val="00462496"/>
    <w:rsid w:val="0050061A"/>
    <w:rsid w:val="00531AE3"/>
    <w:rsid w:val="00584E6B"/>
    <w:rsid w:val="00594804"/>
    <w:rsid w:val="005A7098"/>
    <w:rsid w:val="005E287E"/>
    <w:rsid w:val="006108C4"/>
    <w:rsid w:val="0072262B"/>
    <w:rsid w:val="0079715E"/>
    <w:rsid w:val="00891023"/>
    <w:rsid w:val="008A7D0A"/>
    <w:rsid w:val="00944234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50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C0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C0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4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65B0653C559494188090A6474BB43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7F089B-9351-4997-94F1-93B818D0C5F5}"/>
      </w:docPartPr>
      <w:docPartBody>
        <w:p w14:paraId="77B2BDA5" w14:textId="77777777" w:rsidR="008C1C65" w:rsidRDefault="008C1C65">
          <w:pPr>
            <w:pStyle w:val="665B0653C559494188090A6474BB43C0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BC232ACC5104659A52B90C95D8CFD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C35B4C-3F3B-40C3-8EB0-58C72ECE46E5}"/>
      </w:docPartPr>
      <w:docPartBody>
        <w:p w14:paraId="77B2BDA6" w14:textId="77777777" w:rsidR="008C1C65" w:rsidRDefault="008C1C65">
          <w:pPr>
            <w:pStyle w:val="1BC232ACC5104659A52B90C95D8CFD27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E185ECE260FF4337835D621887913E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B1B42-53E9-492E-B947-49471482EE9F}"/>
      </w:docPartPr>
      <w:docPartBody>
        <w:p w14:paraId="77B2BDA7" w14:textId="77777777" w:rsidR="008C1C65" w:rsidRDefault="008C1C65">
          <w:pPr>
            <w:pStyle w:val="E185ECE260FF4337835D621887913E1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7315B0D62E9442B4B6D608DEF92C7A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3B5B3E-434D-4102-A99E-4ACFADE7FAC8}"/>
      </w:docPartPr>
      <w:docPartBody>
        <w:p w14:paraId="77B2BDA8" w14:textId="77777777" w:rsidR="008C1C65" w:rsidRDefault="008C1C65">
          <w:pPr>
            <w:pStyle w:val="7315B0D62E9442B4B6D608DEF92C7A30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C65"/>
    <w:rsid w:val="008C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B2BDA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665B0653C559494188090A6474BB43C0">
    <w:name w:val="665B0653C559494188090A6474BB43C0"/>
  </w:style>
  <w:style w:type="paragraph" w:customStyle="1" w:styleId="1BC232ACC5104659A52B90C95D8CFD27">
    <w:name w:val="1BC232ACC5104659A52B90C95D8CFD27"/>
  </w:style>
  <w:style w:type="paragraph" w:customStyle="1" w:styleId="E185ECE260FF4337835D621887913E10">
    <w:name w:val="E185ECE260FF4337835D621887913E10"/>
  </w:style>
  <w:style w:type="paragraph" w:customStyle="1" w:styleId="7315B0D62E9442B4B6D608DEF92C7A30">
    <w:name w:val="7315B0D62E9442B4B6D608DEF92C7A3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665B0653C559494188090A6474BB43C0">
    <w:name w:val="665B0653C559494188090A6474BB43C0"/>
  </w:style>
  <w:style w:type="paragraph" w:customStyle="1" w:styleId="1BC232ACC5104659A52B90C95D8CFD27">
    <w:name w:val="1BC232ACC5104659A52B90C95D8CFD27"/>
  </w:style>
  <w:style w:type="paragraph" w:customStyle="1" w:styleId="E185ECE260FF4337835D621887913E10">
    <w:name w:val="E185ECE260FF4337835D621887913E10"/>
  </w:style>
  <w:style w:type="paragraph" w:customStyle="1" w:styleId="7315B0D62E9442B4B6D608DEF92C7A30">
    <w:name w:val="7315B0D62E9442B4B6D608DEF92C7A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Alexandre Guarnieri</DisplayName>
        <AccountId>505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ACURSIO MAIA</DisplayName>
        <AccountId>2100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PR-0889</C_x00f3_digo>
    <Site xmlns="f26919fd-1615-4d88-839c-06ef217dfe47">Brasil</Site>
    <Data_x0020_de_x0020_Vencimento xmlns="f26919fd-1615-4d88-839c-06ef217dfe47">2017-01-16T23:54:13+00:00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2015-01-16T23:54:13+00:00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f26919fd-1615-4d88-839c-06ef217dfe47"/>
    <ds:schemaRef ds:uri="http://purl.org/dc/terms/"/>
    <ds:schemaRef ds:uri="http://schemas.openxmlformats.org/package/2006/metadata/core-properties"/>
    <ds:schemaRef ds:uri="121446a2-a8cc-47de-862f-9881eb6a867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3DF3442-841A-41DA-9695-D5692FE87E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0</TotalTime>
  <Pages>3</Pages>
  <Words>711</Words>
  <Characters>3845</Characters>
  <Application>Microsoft Office Word</Application>
  <DocSecurity>4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Consultoria de Tecnologia Digital</vt:lpstr>
      <vt:lpstr/>
    </vt:vector>
  </TitlesOfParts>
  <Company>Natura</Company>
  <LinksUpToDate>false</LinksUpToDate>
  <CharactersWithSpaces>4547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Consultoria de Tecnologia Digital</dc:title>
  <dc:creator>guarnieri</dc:creator>
  <cp:lastModifiedBy>mvmarque</cp:lastModifiedBy>
  <cp:revision>2</cp:revision>
  <dcterms:created xsi:type="dcterms:W3CDTF">2015-06-09T20:32:00Z</dcterms:created>
  <dcterms:modified xsi:type="dcterms:W3CDTF">2015-06-09T20:32:00Z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16/01/2015 21:54:13: Publicação Documento</vt:lpwstr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</vt:lpwstr>
  </property>
</Properties>
</file>