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deGrade1Clara-nfase2"/>
        <w:tblW w:w="10348" w:type="dxa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000" w:firstRow="0" w:lastRow="0" w:firstColumn="0" w:lastColumn="0" w:noHBand="0" w:noVBand="0"/>
      </w:tblPr>
      <w:tblGrid>
        <w:gridCol w:w="10348"/>
      </w:tblGrid>
      <w:tr w:rsidR="00F10408" w:rsidRPr="00361391" w:rsidTr="00F10408">
        <w:trPr>
          <w:trHeight w:val="567"/>
          <w:jc w:val="center"/>
        </w:trPr>
        <w:tc>
          <w:tcPr>
            <w:tcW w:w="10348" w:type="dxa"/>
            <w:shd w:val="clear" w:color="auto" w:fill="F7CAAC" w:themeFill="accent2" w:themeFillTint="66"/>
            <w:vAlign w:val="center"/>
          </w:tcPr>
          <w:p w:rsidR="00F10408" w:rsidRPr="00361391" w:rsidRDefault="00F10408" w:rsidP="00925FA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 xml:space="preserve">1) OBJETIVO DO DOCUMENTO </w:t>
            </w:r>
          </w:p>
        </w:tc>
      </w:tr>
      <w:tr w:rsidR="00F10408" w:rsidRPr="00361391" w:rsidTr="00907EAF">
        <w:trPr>
          <w:trHeight w:val="283"/>
          <w:jc w:val="center"/>
        </w:trPr>
        <w:tc>
          <w:tcPr>
            <w:tcW w:w="10348" w:type="dxa"/>
            <w:shd w:val="clear" w:color="auto" w:fill="auto"/>
            <w:vAlign w:val="center"/>
          </w:tcPr>
          <w:p w:rsidR="00F10408" w:rsidRDefault="00F10408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  <w:p w:rsidR="00F10408" w:rsidRPr="00F10408" w:rsidRDefault="00F10408" w:rsidP="00907EAF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F10408">
              <w:rPr>
                <w:noProof/>
                <w:color w:val="000000" w:themeColor="text1"/>
                <w:sz w:val="24"/>
                <w:szCs w:val="20"/>
                <w:lang w:eastAsia="pt-BR"/>
              </w:rPr>
              <w:t>Este Relatório Informativo visa esclarecer, para os devidos fins, o impacto do preenchimento incorreto do campo “</w:t>
            </w:r>
            <w:r w:rsidRPr="00D837C1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Resolution</w:t>
            </w:r>
            <w:r w:rsidRPr="00F10408">
              <w:rPr>
                <w:noProof/>
                <w:color w:val="000000" w:themeColor="text1"/>
                <w:sz w:val="24"/>
                <w:szCs w:val="20"/>
                <w:lang w:eastAsia="pt-BR"/>
              </w:rPr>
              <w:t>” da ferramenta JIRA na contagem dos BUGs de Q2 do Projeto MLS</w:t>
            </w:r>
            <w:r w:rsidR="00D837C1">
              <w:rPr>
                <w:noProof/>
                <w:color w:val="000000" w:themeColor="text1"/>
                <w:sz w:val="24"/>
                <w:szCs w:val="20"/>
                <w:lang w:eastAsia="pt-BR"/>
              </w:rPr>
              <w:t>.</w:t>
            </w:r>
          </w:p>
          <w:p w:rsidR="00F10408" w:rsidRPr="00F10408" w:rsidRDefault="00F10408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</w:tc>
      </w:tr>
    </w:tbl>
    <w:p w:rsidR="00F31004" w:rsidRDefault="00F31004" w:rsidP="00907EAF">
      <w:pPr>
        <w:spacing w:after="0" w:line="240" w:lineRule="auto"/>
        <w:jc w:val="both"/>
        <w:rPr>
          <w:noProof/>
          <w:sz w:val="28"/>
          <w:szCs w:val="32"/>
          <w:lang w:eastAsia="pt-BR"/>
        </w:rPr>
      </w:pPr>
    </w:p>
    <w:p w:rsidR="00F10408" w:rsidRDefault="00907EAF" w:rsidP="00907EAF">
      <w:pPr>
        <w:spacing w:after="0" w:line="240" w:lineRule="auto"/>
        <w:jc w:val="both"/>
        <w:rPr>
          <w:noProof/>
          <w:sz w:val="28"/>
          <w:szCs w:val="32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2B8B1B67" wp14:editId="12A71616">
            <wp:simplePos x="0" y="0"/>
            <wp:positionH relativeFrom="column">
              <wp:posOffset>152400</wp:posOffset>
            </wp:positionH>
            <wp:positionV relativeFrom="paragraph">
              <wp:posOffset>1597025</wp:posOffset>
            </wp:positionV>
            <wp:extent cx="6332220" cy="2265045"/>
            <wp:effectExtent l="152400" t="152400" r="354330" b="36385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65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tbl>
      <w:tblPr>
        <w:tblStyle w:val="TabeladeGrade1Clara-nfase2"/>
        <w:tblW w:w="10348" w:type="dxa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000" w:firstRow="0" w:lastRow="0" w:firstColumn="0" w:lastColumn="0" w:noHBand="0" w:noVBand="0"/>
      </w:tblPr>
      <w:tblGrid>
        <w:gridCol w:w="10348"/>
      </w:tblGrid>
      <w:tr w:rsidR="00907EAF" w:rsidRPr="00361391" w:rsidTr="009C6BCD">
        <w:trPr>
          <w:trHeight w:val="567"/>
          <w:tblHeader/>
          <w:jc w:val="center"/>
        </w:trPr>
        <w:tc>
          <w:tcPr>
            <w:tcW w:w="10348" w:type="dxa"/>
            <w:shd w:val="clear" w:color="auto" w:fill="F7CAAC" w:themeFill="accent2" w:themeFillTint="66"/>
            <w:vAlign w:val="center"/>
          </w:tcPr>
          <w:p w:rsidR="00907EAF" w:rsidRPr="00361391" w:rsidRDefault="00907EAF" w:rsidP="00925FA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2</w:t>
            </w:r>
            <w:r>
              <w:rPr>
                <w:b/>
                <w:color w:val="000000" w:themeColor="text1"/>
                <w:sz w:val="24"/>
              </w:rPr>
              <w:t xml:space="preserve">) </w:t>
            </w:r>
            <w:r>
              <w:rPr>
                <w:b/>
                <w:color w:val="000000" w:themeColor="text1"/>
                <w:sz w:val="24"/>
              </w:rPr>
              <w:t>FATO</w:t>
            </w:r>
            <w:r w:rsidR="00F31004">
              <w:rPr>
                <w:b/>
                <w:color w:val="000000" w:themeColor="text1"/>
                <w:sz w:val="24"/>
              </w:rPr>
              <w:t xml:space="preserve"> E CAUSA</w:t>
            </w:r>
          </w:p>
        </w:tc>
      </w:tr>
      <w:tr w:rsidR="00907EAF" w:rsidRPr="00361391" w:rsidTr="00907EAF">
        <w:trPr>
          <w:trHeight w:val="283"/>
          <w:jc w:val="center"/>
        </w:trPr>
        <w:tc>
          <w:tcPr>
            <w:tcW w:w="10348" w:type="dxa"/>
            <w:shd w:val="clear" w:color="auto" w:fill="auto"/>
            <w:vAlign w:val="center"/>
          </w:tcPr>
          <w:p w:rsidR="00907EAF" w:rsidRDefault="00907EAF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A ferramenta JIRA considera nativamente que o preenchimento do campo “</w:t>
            </w:r>
            <w:r w:rsidRPr="00907EAF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Resolution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” é o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único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indicador de que uma </w:t>
            </w:r>
            <w:r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I</w:t>
            </w:r>
            <w:r w:rsidRPr="00907EAF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ssue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>(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seja um Chamado, Bug ou Melhoria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>)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não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se encontra mais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aberta - vide informação abaixo, obtida da documentação da própria ferramenta.</w:t>
            </w: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D837C1" w:rsidRDefault="00C30938" w:rsidP="009C6BCD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Em 11/07/16, a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pós o fechamento </w:t>
            </w:r>
            <w:r w:rsidR="00D837C1">
              <w:rPr>
                <w:noProof/>
                <w:color w:val="000000" w:themeColor="text1"/>
                <w:sz w:val="24"/>
                <w:szCs w:val="20"/>
                <w:lang w:eastAsia="pt-BR"/>
              </w:rPr>
              <w:t>da contagem de BUGs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</w:t>
            </w:r>
            <w:r w:rsidR="009C6BCD">
              <w:rPr>
                <w:noProof/>
                <w:color w:val="000000" w:themeColor="text1"/>
                <w:sz w:val="24"/>
                <w:szCs w:val="20"/>
                <w:lang w:eastAsia="pt-BR"/>
              </w:rPr>
              <w:t>de Q2 e d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urante uma validação </w:t>
            </w:r>
            <w:r w:rsidR="009C6BCD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das informações contidas no 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>Dashboard de BUGs (</w:t>
            </w:r>
            <w:r w:rsidR="009C6BCD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painel 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utilizado pelos Gerentes de TI para prestação de contas ao Diretor de TI), </w:t>
            </w:r>
            <w:r w:rsidR="00907EAF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foi identificado que havia </w:t>
            </w:r>
            <w:r w:rsidR="00D837C1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0</w:t>
            </w:r>
            <w:r w:rsidR="009C6BCD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7 (sete) </w:t>
            </w:r>
            <w:r w:rsidR="00907EAF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BUGs</w:t>
            </w:r>
            <w:r w:rsidR="00D837C1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do Projeto MLS, de responsabilidade do Gerente Nelton Lima,</w:t>
            </w:r>
            <w:r w:rsidR="00907EAF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que ainda estavam sendo tratad</w:t>
            </w:r>
            <w:r w:rsidR="009C6BCD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o</w:t>
            </w:r>
            <w:r w:rsidR="00907EAF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s</w:t>
            </w:r>
            <w:r w:rsidR="009C6BCD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mas não apareciam nos gráficos</w:t>
            </w:r>
            <w:r w:rsidR="00A62B0B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do painel</w:t>
            </w:r>
            <w:r w:rsidR="009C6BCD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. </w:t>
            </w:r>
          </w:p>
          <w:p w:rsidR="00D837C1" w:rsidRDefault="00D837C1" w:rsidP="009C6BCD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A62B0B" w:rsidRDefault="009C6BCD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Isso se </w:t>
            </w:r>
            <w:r w:rsidRPr="00D837C1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devia ao fato do campo “</w:t>
            </w:r>
            <w:r w:rsidRPr="00D837C1">
              <w:rPr>
                <w:b/>
                <w:i/>
                <w:noProof/>
                <w:color w:val="000000" w:themeColor="text1"/>
                <w:sz w:val="24"/>
                <w:szCs w:val="20"/>
                <w:lang w:eastAsia="pt-BR"/>
              </w:rPr>
              <w:t>Resolution</w:t>
            </w:r>
            <w:r w:rsidRPr="00D837C1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” de cada um desses BUGs estar indevidamente preenchido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, o que fazia a ferramenta não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contabilizá-los n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o Dashboard (pelo campo estar preenchido, a ferramenta considerava que estes BUGs já estavam fechados). </w:t>
            </w:r>
          </w:p>
          <w:p w:rsidR="00A62B0B" w:rsidRDefault="00A62B0B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A62B0B" w:rsidRDefault="00A62B0B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A62B0B" w:rsidRDefault="00A62B0B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C6BCD" w:rsidRDefault="009C6BCD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Este fato motivou o envio do </w:t>
            </w:r>
            <w:r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EMAIL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_</w:t>
            </w:r>
            <w:r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01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, conforme evidência anexada a este relatório. Neste e-mail foi solicitado que os Gerentes de TI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>orientassem os analista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s de seus respectivos times para nunca preencher manualmente o campo “</w:t>
            </w:r>
            <w:r w:rsidRPr="009C6BCD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Resolution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”, fato que possivelmente originou o desvio.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Além disso, foi solicitado ao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Rodolfo Bo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rtolin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(especialista na ferramenta JIRA)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>que provid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enciasse uma forma de impedir o preenchim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>ento manual do respectivo campo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, de forma a evitar falhas operacionais futuras.</w:t>
            </w:r>
          </w:p>
          <w:p w:rsidR="001575C2" w:rsidRPr="00F10408" w:rsidRDefault="001575C2" w:rsidP="001575C2">
            <w:pPr>
              <w:spacing w:line="276" w:lineRule="auto"/>
              <w:jc w:val="both"/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</w:tc>
      </w:tr>
    </w:tbl>
    <w:p w:rsidR="00F10408" w:rsidRDefault="00F10408" w:rsidP="00907EAF">
      <w:pPr>
        <w:spacing w:after="0" w:line="240" w:lineRule="auto"/>
        <w:jc w:val="both"/>
        <w:rPr>
          <w:noProof/>
          <w:sz w:val="28"/>
          <w:szCs w:val="32"/>
          <w:lang w:eastAsia="pt-BR"/>
        </w:rPr>
      </w:pPr>
    </w:p>
    <w:p w:rsidR="00F31004" w:rsidRDefault="00F31004" w:rsidP="00907EAF">
      <w:pPr>
        <w:spacing w:after="0" w:line="240" w:lineRule="auto"/>
        <w:jc w:val="both"/>
        <w:rPr>
          <w:noProof/>
          <w:sz w:val="28"/>
          <w:szCs w:val="32"/>
          <w:lang w:eastAsia="pt-BR"/>
        </w:rPr>
      </w:pPr>
    </w:p>
    <w:tbl>
      <w:tblPr>
        <w:tblStyle w:val="TabeladeGrade1Clara-nfase2"/>
        <w:tblW w:w="10348" w:type="dxa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000" w:firstRow="0" w:lastRow="0" w:firstColumn="0" w:lastColumn="0" w:noHBand="0" w:noVBand="0"/>
      </w:tblPr>
      <w:tblGrid>
        <w:gridCol w:w="10348"/>
      </w:tblGrid>
      <w:tr w:rsidR="00F31004" w:rsidRPr="00361391" w:rsidTr="00A62B0B">
        <w:trPr>
          <w:trHeight w:val="567"/>
          <w:tblHeader/>
          <w:jc w:val="center"/>
        </w:trPr>
        <w:tc>
          <w:tcPr>
            <w:tcW w:w="10348" w:type="dxa"/>
            <w:shd w:val="clear" w:color="auto" w:fill="F7CAAC" w:themeFill="accent2" w:themeFillTint="66"/>
            <w:vAlign w:val="center"/>
          </w:tcPr>
          <w:p w:rsidR="00F31004" w:rsidRPr="00361391" w:rsidRDefault="00F31004" w:rsidP="00925FA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3</w:t>
            </w:r>
            <w:r>
              <w:rPr>
                <w:b/>
                <w:color w:val="000000" w:themeColor="text1"/>
                <w:sz w:val="24"/>
              </w:rPr>
              <w:t xml:space="preserve">) </w:t>
            </w:r>
            <w:r>
              <w:rPr>
                <w:b/>
                <w:color w:val="000000" w:themeColor="text1"/>
                <w:sz w:val="24"/>
              </w:rPr>
              <w:t>RESOLUÇÃO DO DESVIO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</w:p>
        </w:tc>
      </w:tr>
      <w:tr w:rsidR="00F31004" w:rsidRPr="00361391" w:rsidTr="00925FA5">
        <w:trPr>
          <w:trHeight w:val="283"/>
          <w:jc w:val="center"/>
        </w:trPr>
        <w:tc>
          <w:tcPr>
            <w:tcW w:w="10348" w:type="dxa"/>
            <w:shd w:val="clear" w:color="auto" w:fill="auto"/>
            <w:vAlign w:val="center"/>
          </w:tcPr>
          <w:p w:rsidR="00F31004" w:rsidRDefault="00F31004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  <w:p w:rsidR="00FD4BBC" w:rsidRDefault="00FD4BBC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FD4BBC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Parte 1 – 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Bloqueio do preenchimento manual do campo “Resolution” na </w:t>
            </w:r>
            <w:r w:rsidRPr="00FD4BBC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Ferramenta JIRA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:</w:t>
            </w:r>
          </w:p>
          <w:p w:rsidR="00FD4BBC" w:rsidRDefault="00FD4BBC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D4BBC" w:rsidRDefault="0011428B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Conforme solicitado, </w:t>
            </w:r>
            <w:r w:rsidR="00FD4BBC">
              <w:rPr>
                <w:noProof/>
                <w:color w:val="000000" w:themeColor="text1"/>
                <w:sz w:val="24"/>
                <w:szCs w:val="20"/>
                <w:lang w:eastAsia="pt-BR"/>
              </w:rPr>
              <w:t>Rodolfo Bortotin providenciou o bloqueio do preenchimento manual do campo “Resolution” para que mais nenhum analista cometesse nova falha operacional ao tratar BUGs ou Melhorias.</w:t>
            </w:r>
          </w:p>
          <w:p w:rsidR="00FD4BBC" w:rsidRDefault="00FD4BBC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D4BBC" w:rsidRDefault="00FD4BBC" w:rsidP="00FD4BBC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FD4BBC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Parte 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2</w:t>
            </w:r>
            <w:r w:rsidRPr="00FD4BBC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– 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Reconsiderar novamente os 07 BUGs que estavam “invisíveis” no Dashboard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:</w:t>
            </w:r>
          </w:p>
          <w:p w:rsidR="00FD4BBC" w:rsidRDefault="00FD4BBC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1428B" w:rsidRDefault="00C30938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Após bloquear o preeenchimento manual do campo “Resolution”, foi necessário atuar sobre os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07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BUGs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do Projeto MLS do JIRA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que não estavam aparecendo no Dashboard de BUGs.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Reunidos em sala de reunião no dia 21/07/16 Nelton Lima, Nei Henckes e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Jorge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Maluf, foram realizadas as seguintes atividades: </w:t>
            </w:r>
          </w:p>
          <w:p w:rsidR="0011428B" w:rsidRDefault="0011428B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1428B" w:rsidRDefault="0011428B" w:rsidP="0011428B">
            <w:pPr>
              <w:pStyle w:val="PargrafodaLista"/>
              <w:numPr>
                <w:ilvl w:val="0"/>
                <w:numId w:val="3"/>
              </w:num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L</w:t>
            </w:r>
            <w:r w:rsidR="00C30938"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>impeza do campo “Resolution” d</w:t>
            </w:r>
            <w:r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os </w:t>
            </w:r>
            <w:r w:rsidR="00C30938"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>07 BUGs. Desta forma eles passariam a ser contabilizados no Dashboard de BUGs</w:t>
            </w:r>
            <w:r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em Q2 (distorcendo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/ampliando</w:t>
            </w:r>
            <w:r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o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número de</w:t>
            </w:r>
            <w:r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fechamento já realizado)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.</w:t>
            </w:r>
          </w:p>
          <w:p w:rsidR="00A62B0B" w:rsidRPr="0011428B" w:rsidRDefault="00A62B0B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1428B" w:rsidRDefault="0011428B" w:rsidP="0011428B">
            <w:pPr>
              <w:pStyle w:val="PargrafodaLista"/>
              <w:numPr>
                <w:ilvl w:val="0"/>
                <w:numId w:val="3"/>
              </w:num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Nelton analisou e listou 07 BUGs ainda em tratamento, os quais haviam sido abertos em Q2. A solução tomada em conjunto foi clonar estes BUGs selecionados pelo Nelton pois assim eles passariam a ser contabilizados em Q3. Feito o clone, os BUGs selecionados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foram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excluídos da base para retornar o número de BUGs do Projeto MLS em Q2 à quantidade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informada no fechamento do quarter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. Apenas para entendimento, a função clone da ferramenta JIRA permite duplicar uma </w:t>
            </w:r>
            <w:r w:rsidRPr="0011428B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Issue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considerando todo o histórico e respecitvos anexos do item original). Uma vez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lastRenderedPageBreak/>
              <w:t xml:space="preserve">realizado o clone, eles passariam a constar em Q3.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Esta operação foi documentada pelo Nei Henckes no </w:t>
            </w:r>
            <w:bookmarkStart w:id="0" w:name="_GoBack"/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EMAIL_02 </w:t>
            </w:r>
            <w:bookmarkEnd w:id="0"/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(evidência em anexo a este relatório).</w:t>
            </w:r>
          </w:p>
          <w:p w:rsidR="00A62B0B" w:rsidRDefault="00A62B0B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A62B0B" w:rsidRDefault="00A62B0B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F85DD10" wp14:editId="404B1526">
                  <wp:extent cx="5619750" cy="3979359"/>
                  <wp:effectExtent l="0" t="0" r="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010" cy="398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1004" w:rsidRPr="0011428B" w:rsidRDefault="00C30938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</w:t>
            </w:r>
          </w:p>
          <w:p w:rsidR="00F31004" w:rsidRPr="00F10408" w:rsidRDefault="00F31004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</w:tc>
      </w:tr>
    </w:tbl>
    <w:p w:rsidR="00F31004" w:rsidRDefault="00F31004" w:rsidP="00907EAF">
      <w:pPr>
        <w:spacing w:after="0" w:line="240" w:lineRule="auto"/>
        <w:jc w:val="both"/>
        <w:rPr>
          <w:noProof/>
          <w:sz w:val="28"/>
          <w:szCs w:val="32"/>
          <w:lang w:eastAsia="pt-BR"/>
        </w:rPr>
      </w:pPr>
    </w:p>
    <w:sectPr w:rsidR="00F31004" w:rsidSect="006635E9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4BE" w:rsidRDefault="007644BE" w:rsidP="001A65D3">
      <w:pPr>
        <w:spacing w:after="0" w:line="240" w:lineRule="auto"/>
      </w:pPr>
      <w:r>
        <w:separator/>
      </w:r>
    </w:p>
  </w:endnote>
  <w:endnote w:type="continuationSeparator" w:id="0">
    <w:p w:rsidR="007644BE" w:rsidRDefault="007644BE" w:rsidP="001A6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6367037"/>
      <w:docPartObj>
        <w:docPartGallery w:val="Page Numbers (Bottom of Page)"/>
        <w:docPartUnique/>
      </w:docPartObj>
    </w:sdtPr>
    <w:sdtContent>
      <w:p w:rsidR="00361391" w:rsidRDefault="00F31004">
        <w:pPr>
          <w:pStyle w:val="Rodap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page">
                    <wp:posOffset>6657975</wp:posOffset>
                  </wp:positionH>
                  <wp:positionV relativeFrom="page">
                    <wp:posOffset>9772650</wp:posOffset>
                  </wp:positionV>
                  <wp:extent cx="906780" cy="921385"/>
                  <wp:effectExtent l="0" t="0" r="7620" b="0"/>
                  <wp:wrapNone/>
                  <wp:docPr id="5" name="Triângulo isóscel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6780" cy="921385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31004" w:rsidRPr="00F31004" w:rsidRDefault="00F31004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F31004">
                                <w:rPr>
                                  <w:rFonts w:eastAsiaTheme="minorEastAsia" w:cs="Times New Roman"/>
                                  <w:b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F31004">
                                <w:rPr>
                                  <w:b/>
                                  <w:sz w:val="32"/>
                                  <w:szCs w:val="32"/>
                                </w:rPr>
                                <w:instrText>PAGE    \* MERGEFORMAT</w:instrText>
                              </w:r>
                              <w:r w:rsidRPr="00F31004">
                                <w:rPr>
                                  <w:rFonts w:eastAsiaTheme="minorEastAsia" w:cs="Times New Roman"/>
                                  <w:b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A62B0B" w:rsidRPr="00A62B0B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3</w:t>
                              </w:r>
                              <w:r w:rsidRPr="00F31004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5" o:spid="_x0000_s1026" type="#_x0000_t5" style="position:absolute;margin-left:524.25pt;margin-top:769.5pt;width:71.4pt;height:72.5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" adj="21600" fillcolor="#ed7d31 [3205]" stroked="f">
                  <v:textbox>
                    <w:txbxContent>
                      <w:p w:rsidR="00F31004" w:rsidRPr="00F31004" w:rsidRDefault="00F31004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F31004">
                          <w:rPr>
                            <w:rFonts w:eastAsiaTheme="minorEastAsia" w:cs="Times New Roman"/>
                            <w:b/>
                            <w:sz w:val="32"/>
                            <w:szCs w:val="32"/>
                          </w:rPr>
                          <w:fldChar w:fldCharType="begin"/>
                        </w:r>
                        <w:r w:rsidRPr="00F31004">
                          <w:rPr>
                            <w:b/>
                            <w:sz w:val="32"/>
                            <w:szCs w:val="32"/>
                          </w:rPr>
                          <w:instrText>PAGE    \* MERGEFORMAT</w:instrText>
                        </w:r>
                        <w:r w:rsidRPr="00F31004">
                          <w:rPr>
                            <w:rFonts w:eastAsiaTheme="minorEastAsia" w:cs="Times New Roman"/>
                            <w:b/>
                            <w:sz w:val="32"/>
                            <w:szCs w:val="32"/>
                          </w:rPr>
                          <w:fldChar w:fldCharType="separate"/>
                        </w:r>
                        <w:r w:rsidR="00A62B0B" w:rsidRPr="00A62B0B">
                          <w:rPr>
                            <w:rFonts w:asciiTheme="majorHAnsi" w:eastAsiaTheme="majorEastAsia" w:hAnsiTheme="majorHAnsi" w:cstheme="majorBidi"/>
                            <w:b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3</w:t>
                        </w:r>
                        <w:r w:rsidRPr="00F31004">
                          <w:rPr>
                            <w:rFonts w:asciiTheme="majorHAnsi" w:eastAsiaTheme="majorEastAsia" w:hAnsiTheme="majorHAnsi" w:cstheme="majorBidi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4BE" w:rsidRDefault="007644BE" w:rsidP="001A65D3">
      <w:pPr>
        <w:spacing w:after="0" w:line="240" w:lineRule="auto"/>
      </w:pPr>
      <w:r>
        <w:separator/>
      </w:r>
    </w:p>
  </w:footnote>
  <w:footnote w:type="continuationSeparator" w:id="0">
    <w:p w:rsidR="007644BE" w:rsidRDefault="007644BE" w:rsidP="001A6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deGrade1Clara-nfase2"/>
      <w:tblW w:w="10375" w:type="dxa"/>
      <w:jc w:val="center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  <w:tblLook w:val="0000" w:firstRow="0" w:lastRow="0" w:firstColumn="0" w:lastColumn="0" w:noHBand="0" w:noVBand="0"/>
    </w:tblPr>
    <w:tblGrid>
      <w:gridCol w:w="3005"/>
      <w:gridCol w:w="1654"/>
      <w:gridCol w:w="5716"/>
    </w:tblGrid>
    <w:tr w:rsidR="001460E4" w:rsidRPr="00361391" w:rsidTr="00F10408">
      <w:trPr>
        <w:trHeight w:val="850"/>
        <w:jc w:val="center"/>
      </w:trPr>
      <w:tc>
        <w:tcPr>
          <w:tcW w:w="3005" w:type="dxa"/>
          <w:vMerge w:val="restart"/>
        </w:tcPr>
        <w:p w:rsidR="001460E4" w:rsidRPr="00147458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  <w:r w:rsidRPr="00361391">
            <w:rPr>
              <w:b/>
              <w:noProof/>
              <w:color w:val="000000" w:themeColor="text1"/>
              <w:lang w:eastAsia="pt-BR"/>
            </w:rPr>
            <w:drawing>
              <wp:anchor distT="0" distB="0" distL="114300" distR="114300" simplePos="0" relativeHeight="251662336" behindDoc="0" locked="0" layoutInCell="1" allowOverlap="1" wp14:anchorId="3A14DFA8" wp14:editId="4DD4FD82">
                <wp:simplePos x="0" y="0"/>
                <wp:positionH relativeFrom="column">
                  <wp:posOffset>102870</wp:posOffset>
                </wp:positionH>
                <wp:positionV relativeFrom="paragraph">
                  <wp:posOffset>48895</wp:posOffset>
                </wp:positionV>
                <wp:extent cx="1590675" cy="1181100"/>
                <wp:effectExtent l="0" t="0" r="9525" b="0"/>
                <wp:wrapNone/>
                <wp:docPr id="1" name="Imagem 1" descr="C:\Users\lilly\AppData\Local\Microsoft\Windows\INetCacheContent.Word\Logo Smiles (fundo transparente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2" descr="C:\Users\lilly\AppData\Local\Microsoft\Windows\INetCacheContent.Word\Logo Smiles (fundo transparente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067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noProof/>
              <w:color w:val="000000" w:themeColor="text1"/>
              <w:sz w:val="40"/>
              <w:szCs w:val="40"/>
              <w:lang w:eastAsia="pt-BR"/>
            </w:rPr>
            <w:br/>
          </w:r>
        </w:p>
        <w:p w:rsidR="001460E4" w:rsidRPr="00147458" w:rsidRDefault="001460E4" w:rsidP="000B5B06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7370" w:type="dxa"/>
          <w:gridSpan w:val="2"/>
          <w:vAlign w:val="center"/>
        </w:tcPr>
        <w:p w:rsidR="001460E4" w:rsidRPr="00361391" w:rsidRDefault="00F10408" w:rsidP="00F10408">
          <w:pPr>
            <w:rPr>
              <w:b/>
              <w:color w:val="000000" w:themeColor="text1"/>
            </w:rPr>
          </w:pPr>
          <w:r>
            <w:rPr>
              <w:b/>
              <w:color w:val="000000" w:themeColor="text1"/>
              <w:sz w:val="24"/>
            </w:rPr>
            <w:t xml:space="preserve">Relatório Informativo sobre o </w:t>
          </w:r>
          <w:r w:rsidRPr="00F10408">
            <w:rPr>
              <w:b/>
              <w:color w:val="000000" w:themeColor="text1"/>
              <w:sz w:val="24"/>
            </w:rPr>
            <w:t xml:space="preserve">Impacto do </w:t>
          </w:r>
          <w:r>
            <w:rPr>
              <w:b/>
              <w:color w:val="000000" w:themeColor="text1"/>
              <w:sz w:val="24"/>
            </w:rPr>
            <w:t xml:space="preserve">preenchimento incorreto do </w:t>
          </w:r>
          <w:r w:rsidRPr="00F10408">
            <w:rPr>
              <w:b/>
              <w:color w:val="000000" w:themeColor="text1"/>
              <w:sz w:val="24"/>
            </w:rPr>
            <w:t>Campo “</w:t>
          </w:r>
          <w:proofErr w:type="spellStart"/>
          <w:r w:rsidRPr="00F10408">
            <w:rPr>
              <w:b/>
              <w:i/>
              <w:color w:val="000000" w:themeColor="text1"/>
              <w:sz w:val="24"/>
            </w:rPr>
            <w:t>Resolution</w:t>
          </w:r>
          <w:proofErr w:type="spellEnd"/>
          <w:r w:rsidRPr="00F10408">
            <w:rPr>
              <w:b/>
              <w:i/>
              <w:color w:val="000000" w:themeColor="text1"/>
              <w:sz w:val="24"/>
            </w:rPr>
            <w:t>”</w:t>
          </w:r>
          <w:r w:rsidRPr="00F10408">
            <w:rPr>
              <w:b/>
              <w:color w:val="000000" w:themeColor="text1"/>
              <w:sz w:val="24"/>
            </w:rPr>
            <w:t xml:space="preserve"> </w:t>
          </w:r>
          <w:r>
            <w:rPr>
              <w:b/>
              <w:color w:val="000000" w:themeColor="text1"/>
              <w:sz w:val="24"/>
            </w:rPr>
            <w:t xml:space="preserve">do JIRA </w:t>
          </w:r>
          <w:r w:rsidRPr="00F10408">
            <w:rPr>
              <w:b/>
              <w:color w:val="000000" w:themeColor="text1"/>
              <w:sz w:val="24"/>
            </w:rPr>
            <w:t>n</w:t>
          </w:r>
          <w:r>
            <w:rPr>
              <w:b/>
              <w:color w:val="000000" w:themeColor="text1"/>
              <w:sz w:val="24"/>
            </w:rPr>
            <w:t>a contagem d</w:t>
          </w:r>
          <w:r w:rsidRPr="00F10408">
            <w:rPr>
              <w:b/>
              <w:color w:val="000000" w:themeColor="text1"/>
              <w:sz w:val="24"/>
            </w:rPr>
            <w:t xml:space="preserve">os </w:t>
          </w:r>
          <w:proofErr w:type="spellStart"/>
          <w:r w:rsidRPr="00F10408">
            <w:rPr>
              <w:b/>
              <w:color w:val="000000" w:themeColor="text1"/>
              <w:sz w:val="24"/>
            </w:rPr>
            <w:t>BUGs</w:t>
          </w:r>
          <w:proofErr w:type="spellEnd"/>
          <w:r w:rsidRPr="00F10408">
            <w:rPr>
              <w:b/>
              <w:color w:val="000000" w:themeColor="text1"/>
              <w:sz w:val="24"/>
            </w:rPr>
            <w:t xml:space="preserve"> Q2 </w:t>
          </w:r>
          <w:r>
            <w:rPr>
              <w:b/>
              <w:color w:val="000000" w:themeColor="text1"/>
              <w:sz w:val="24"/>
            </w:rPr>
            <w:t>d</w:t>
          </w:r>
          <w:r w:rsidRPr="00F10408">
            <w:rPr>
              <w:b/>
              <w:color w:val="000000" w:themeColor="text1"/>
              <w:sz w:val="24"/>
            </w:rPr>
            <w:t>o Projeto MLS</w:t>
          </w:r>
        </w:p>
      </w:tc>
    </w:tr>
    <w:tr w:rsidR="001460E4" w:rsidRPr="00361391" w:rsidTr="00F10408">
      <w:trPr>
        <w:trHeight w:val="283"/>
        <w:jc w:val="center"/>
      </w:trPr>
      <w:tc>
        <w:tcPr>
          <w:tcW w:w="3005" w:type="dxa"/>
          <w:vMerge/>
          <w:vAlign w:val="center"/>
        </w:tcPr>
        <w:p w:rsidR="001460E4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1654" w:type="dxa"/>
          <w:shd w:val="clear" w:color="auto" w:fill="FBE4D5" w:themeFill="accent2" w:themeFillTint="33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Data e Versão</w:t>
          </w:r>
        </w:p>
      </w:tc>
      <w:tc>
        <w:tcPr>
          <w:tcW w:w="5716" w:type="dxa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23/09/2016 – v1.0</w:t>
          </w:r>
        </w:p>
      </w:tc>
    </w:tr>
    <w:tr w:rsidR="001460E4" w:rsidRPr="00361391" w:rsidTr="00F10408">
      <w:trPr>
        <w:trHeight w:val="283"/>
        <w:jc w:val="center"/>
      </w:trPr>
      <w:tc>
        <w:tcPr>
          <w:tcW w:w="3005" w:type="dxa"/>
          <w:vMerge/>
          <w:vAlign w:val="center"/>
        </w:tcPr>
        <w:p w:rsidR="001460E4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1654" w:type="dxa"/>
          <w:shd w:val="clear" w:color="auto" w:fill="FBE4D5" w:themeFill="accent2" w:themeFillTint="33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Elaborado por</w:t>
          </w:r>
        </w:p>
      </w:tc>
      <w:tc>
        <w:tcPr>
          <w:tcW w:w="5716" w:type="dxa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Jorge Maluf</w:t>
          </w:r>
        </w:p>
      </w:tc>
    </w:tr>
    <w:tr w:rsidR="001460E4" w:rsidRPr="00361391" w:rsidTr="00F10408">
      <w:trPr>
        <w:trHeight w:val="283"/>
        <w:jc w:val="center"/>
      </w:trPr>
      <w:tc>
        <w:tcPr>
          <w:tcW w:w="3005" w:type="dxa"/>
          <w:vMerge/>
          <w:vAlign w:val="center"/>
        </w:tcPr>
        <w:p w:rsidR="001460E4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1654" w:type="dxa"/>
          <w:shd w:val="clear" w:color="auto" w:fill="FBE4D5" w:themeFill="accent2" w:themeFillTint="33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Revisado por</w:t>
          </w:r>
        </w:p>
      </w:tc>
      <w:tc>
        <w:tcPr>
          <w:tcW w:w="5716" w:type="dxa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Nelton Lima, Nei Henckes, Adriano Barbosa</w:t>
          </w:r>
        </w:p>
      </w:tc>
    </w:tr>
    <w:tr w:rsidR="001460E4" w:rsidRPr="00361391" w:rsidTr="00F10408">
      <w:trPr>
        <w:trHeight w:val="283"/>
        <w:jc w:val="center"/>
      </w:trPr>
      <w:tc>
        <w:tcPr>
          <w:tcW w:w="3005" w:type="dxa"/>
          <w:vMerge/>
          <w:vAlign w:val="center"/>
        </w:tcPr>
        <w:p w:rsidR="001460E4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1654" w:type="dxa"/>
          <w:shd w:val="clear" w:color="auto" w:fill="FBE4D5" w:themeFill="accent2" w:themeFillTint="33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Aprovado por</w:t>
          </w:r>
        </w:p>
      </w:tc>
      <w:tc>
        <w:tcPr>
          <w:tcW w:w="5716" w:type="dxa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Nelton Lima, Nei Henckes, Adriano Barbosa</w:t>
          </w:r>
        </w:p>
      </w:tc>
    </w:tr>
  </w:tbl>
  <w:p w:rsidR="00F10408" w:rsidRDefault="00F10408">
    <w:pPr>
      <w:pStyle w:val="Cabealho"/>
    </w:pPr>
  </w:p>
  <w:p w:rsidR="00F10408" w:rsidRDefault="00F10408">
    <w:pPr>
      <w:pStyle w:val="Cabealho"/>
    </w:pPr>
  </w:p>
  <w:p w:rsidR="00D905D2" w:rsidRDefault="00D905D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4382EA3" wp14:editId="3A61EE85">
          <wp:simplePos x="0" y="0"/>
          <wp:positionH relativeFrom="margin">
            <wp:align>center</wp:align>
          </wp:positionH>
          <wp:positionV relativeFrom="margin">
            <wp:posOffset>799284</wp:posOffset>
          </wp:positionV>
          <wp:extent cx="5581934" cy="4315460"/>
          <wp:effectExtent l="0" t="0" r="0" b="0"/>
          <wp:wrapNone/>
          <wp:docPr id="2" name="Imagem 2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1934" cy="43154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C4050"/>
    <w:multiLevelType w:val="hybridMultilevel"/>
    <w:tmpl w:val="086C9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91B76"/>
    <w:multiLevelType w:val="hybridMultilevel"/>
    <w:tmpl w:val="B422F3C0"/>
    <w:lvl w:ilvl="0" w:tplc="90744CF4">
      <w:start w:val="1"/>
      <w:numFmt w:val="decimalZero"/>
      <w:lvlText w:val="%1)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A3AE9"/>
    <w:multiLevelType w:val="hybridMultilevel"/>
    <w:tmpl w:val="796A3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5D3"/>
    <w:rsid w:val="00045598"/>
    <w:rsid w:val="00077713"/>
    <w:rsid w:val="000B1A4B"/>
    <w:rsid w:val="000B5B06"/>
    <w:rsid w:val="0011428B"/>
    <w:rsid w:val="001460E4"/>
    <w:rsid w:val="00147458"/>
    <w:rsid w:val="00151F76"/>
    <w:rsid w:val="001575C2"/>
    <w:rsid w:val="001640B8"/>
    <w:rsid w:val="001A65D3"/>
    <w:rsid w:val="00296DB7"/>
    <w:rsid w:val="0030763B"/>
    <w:rsid w:val="003214C3"/>
    <w:rsid w:val="00342E3D"/>
    <w:rsid w:val="00361391"/>
    <w:rsid w:val="0036630B"/>
    <w:rsid w:val="00393818"/>
    <w:rsid w:val="003B6B0E"/>
    <w:rsid w:val="003F634B"/>
    <w:rsid w:val="00441B5F"/>
    <w:rsid w:val="00446E40"/>
    <w:rsid w:val="00566B8C"/>
    <w:rsid w:val="005C7FF5"/>
    <w:rsid w:val="006430D4"/>
    <w:rsid w:val="0065387E"/>
    <w:rsid w:val="006635E9"/>
    <w:rsid w:val="00677AAE"/>
    <w:rsid w:val="007258A3"/>
    <w:rsid w:val="00752C43"/>
    <w:rsid w:val="007644BE"/>
    <w:rsid w:val="008E2A1F"/>
    <w:rsid w:val="00907EAF"/>
    <w:rsid w:val="009C02F7"/>
    <w:rsid w:val="009C06F0"/>
    <w:rsid w:val="009C6BCD"/>
    <w:rsid w:val="00A446A2"/>
    <w:rsid w:val="00A62B0B"/>
    <w:rsid w:val="00A77AB5"/>
    <w:rsid w:val="00B07BAE"/>
    <w:rsid w:val="00B365E9"/>
    <w:rsid w:val="00B609CD"/>
    <w:rsid w:val="00B762E5"/>
    <w:rsid w:val="00B927FF"/>
    <w:rsid w:val="00BC6F21"/>
    <w:rsid w:val="00BE6CA4"/>
    <w:rsid w:val="00C30938"/>
    <w:rsid w:val="00C56726"/>
    <w:rsid w:val="00C85D12"/>
    <w:rsid w:val="00CC6B4E"/>
    <w:rsid w:val="00D424E3"/>
    <w:rsid w:val="00D54032"/>
    <w:rsid w:val="00D75B13"/>
    <w:rsid w:val="00D837C1"/>
    <w:rsid w:val="00D905D2"/>
    <w:rsid w:val="00EC7165"/>
    <w:rsid w:val="00F10408"/>
    <w:rsid w:val="00F104EE"/>
    <w:rsid w:val="00F31004"/>
    <w:rsid w:val="00F77848"/>
    <w:rsid w:val="00FD4BBC"/>
    <w:rsid w:val="00FE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4F6DA3"/>
  <w15:chartTrackingRefBased/>
  <w15:docId w15:val="{2F784B42-C794-461C-9206-B9DAEFDB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6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65D3"/>
  </w:style>
  <w:style w:type="paragraph" w:styleId="Rodap">
    <w:name w:val="footer"/>
    <w:basedOn w:val="Normal"/>
    <w:link w:val="RodapChar"/>
    <w:uiPriority w:val="99"/>
    <w:unhideWhenUsed/>
    <w:rsid w:val="001A6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65D3"/>
  </w:style>
  <w:style w:type="table" w:styleId="TabelaSimples1">
    <w:name w:val="Plain Table 1"/>
    <w:basedOn w:val="Tabelanormal"/>
    <w:uiPriority w:val="41"/>
    <w:rsid w:val="001A65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5">
    <w:name w:val="Grid Table 1 Light Accent 5"/>
    <w:basedOn w:val="Tabelanormal"/>
    <w:uiPriority w:val="46"/>
    <w:rsid w:val="001A65D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A446A2"/>
    <w:pPr>
      <w:ind w:left="720"/>
      <w:contextualSpacing/>
    </w:pPr>
  </w:style>
  <w:style w:type="table" w:styleId="TabeladeGrade2-nfase4">
    <w:name w:val="Grid Table 2 Accent 4"/>
    <w:basedOn w:val="Tabelanormal"/>
    <w:uiPriority w:val="47"/>
    <w:rsid w:val="00D905D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-nfase4">
    <w:name w:val="Grid Table 5 Dark Accent 4"/>
    <w:basedOn w:val="Tabelanormal"/>
    <w:uiPriority w:val="50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1Clara-nfase2">
    <w:name w:val="Grid Table 1 Light Accent 2"/>
    <w:basedOn w:val="Tabelanormal"/>
    <w:uiPriority w:val="46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0B5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E4FFF-0F3F-4850-81B8-591AEA890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503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Santos</dc:creator>
  <cp:keywords/>
  <dc:description/>
  <cp:lastModifiedBy>Jorge Filho</cp:lastModifiedBy>
  <cp:revision>7</cp:revision>
  <cp:lastPrinted>2016-09-23T13:05:00Z</cp:lastPrinted>
  <dcterms:created xsi:type="dcterms:W3CDTF">2016-09-23T17:03:00Z</dcterms:created>
  <dcterms:modified xsi:type="dcterms:W3CDTF">2016-09-23T20:21:00Z</dcterms:modified>
</cp:coreProperties>
</file>