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6741B"/>
    <w:p w14:paraId="7760DB55"/>
    <w:p w14:paraId="364C64C5"/>
    <w:p w14:paraId="1F51AC92"/>
    <w:p w14:paraId="11F8E59C">
      <w:pPr>
        <w:jc w:val="center"/>
      </w:pPr>
      <w:r>
        <w:rPr>
          <w:rFonts w:ascii="Calibri" w:hAnsi="Calibri" w:eastAsia="黑体"/>
          <w:b/>
          <w:sz w:val="52"/>
        </w:rPr>
        <w:t>需求说明书</w:t>
      </w:r>
    </w:p>
    <w:p w14:paraId="1CF1E8E0">
      <w:pPr>
        <w:jc w:val="center"/>
      </w:pPr>
      <w:r>
        <w:rPr>
          <w:rFonts w:ascii="Calibri" w:hAnsi="Calibri" w:eastAsia="黑体"/>
          <w:b/>
          <w:color w:val="2F5496"/>
          <w:sz w:val="34"/>
        </w:rPr>
        <w:t>企业内网建设实战（异构服务器系统综合项目）</w:t>
      </w:r>
    </w:p>
    <w:p w14:paraId="2DDF3A51"/>
    <w:p w14:paraId="759A51EE"/>
    <w:p w14:paraId="4B37C706">
      <w:pPr>
        <w:spacing w:after="160"/>
        <w:jc w:val="center"/>
      </w:pPr>
      <w:r>
        <w:rPr>
          <w:rFonts w:ascii="Calibri" w:hAnsi="Calibri" w:eastAsia="宋体"/>
          <w:b w:val="0"/>
          <w:sz w:val="24"/>
        </w:rPr>
        <w:t>《智能云运维管理应用实战》实训 · 项目1</w:t>
      </w:r>
    </w:p>
    <w:p w14:paraId="575BE2D9">
      <w:pPr>
        <w:spacing w:after="160"/>
        <w:jc w:val="center"/>
      </w:pPr>
      <w:r>
        <w:rPr>
          <w:rFonts w:ascii="Calibri" w:hAnsi="Calibri" w:eastAsia="宋体"/>
          <w:b w:val="0"/>
          <w:sz w:val="24"/>
        </w:rPr>
        <w:t>运行环境：Windows 11 + 华为 eNSP</w:t>
      </w:r>
    </w:p>
    <w:p w14:paraId="65EB2E48">
      <w:pPr>
        <w:spacing w:after="160"/>
        <w:jc w:val="center"/>
      </w:pPr>
      <w:r>
        <w:rPr>
          <w:rFonts w:ascii="Calibri" w:hAnsi="Calibri" w:eastAsia="宋体"/>
          <w:b w:val="0"/>
          <w:sz w:val="24"/>
        </w:rPr>
        <w:t>文档状态：评审稿 V1.0</w:t>
      </w:r>
    </w:p>
    <w:p w14:paraId="01ED350E">
      <w:r>
        <w:br w:type="page"/>
      </w:r>
    </w:p>
    <w:p w14:paraId="56E415B9">
      <w:pPr>
        <w:pStyle w:val="3"/>
      </w:pPr>
      <w:r>
        <w:t>1 引言</w:t>
      </w:r>
    </w:p>
    <w:p w14:paraId="2A3D6C91">
      <w:pPr>
        <w:pStyle w:val="4"/>
      </w:pPr>
      <w:r>
        <w:t>1.1 编写目的</w:t>
      </w:r>
    </w:p>
    <w:p w14:paraId="369796E0">
      <w:r>
        <w:rPr>
          <w:rFonts w:ascii="Calibri" w:hAnsi="Calibri" w:eastAsia="宋体"/>
          <w:b w:val="0"/>
          <w:sz w:val="22"/>
        </w:rPr>
        <w:t>定义"企业内网建设实战"项目的组网需求、功能需求与验收标准，作为教学实施与验收依据。读者：授课教师、实训学生。</w:t>
      </w:r>
    </w:p>
    <w:p w14:paraId="4C87D9C4">
      <w:pPr>
        <w:pStyle w:val="4"/>
      </w:pPr>
      <w:r>
        <w:t>1.2 项目范围</w:t>
      </w:r>
    </w:p>
    <w:p w14:paraId="0390F4A5">
      <w:r>
        <w:rPr>
          <w:rFonts w:ascii="Calibri" w:hAnsi="Calibri" w:eastAsia="宋体"/>
          <w:b w:val="0"/>
          <w:sz w:val="22"/>
        </w:rPr>
        <w:t>在 Windows 11 + eNSP 环境中构建"接入-核心-出口-防火墙-外网"五层仿真网络，并与真实/虚拟 Linux 服务器互联验证。不含无线、VPN、零信任等扩展内容。</w:t>
      </w:r>
    </w:p>
    <w:p w14:paraId="5F937B18">
      <w:pPr>
        <w:pStyle w:val="4"/>
      </w:pPr>
      <w:r>
        <w:t>1.3 术语定义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49633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D9E2F3"/>
          </w:tcPr>
          <w:p w14:paraId="68E3A60D">
            <w:pPr>
              <w:spacing w:after="40"/>
              <w:jc w:val="center"/>
            </w:pPr>
            <w:r>
              <w:rPr>
                <w:rFonts w:ascii="Calibri" w:hAnsi="Calibri" w:eastAsia="黑体"/>
                <w:b/>
                <w:sz w:val="19"/>
              </w:rPr>
              <w:t>术语</w:t>
            </w:r>
          </w:p>
        </w:tc>
        <w:tc>
          <w:tcPr>
            <w:tcW w:w="4366" w:type="dxa"/>
            <w:shd w:val="clear" w:color="auto" w:fill="D9E2F3"/>
          </w:tcPr>
          <w:p w14:paraId="7EB2D7CF">
            <w:pPr>
              <w:spacing w:after="40"/>
              <w:jc w:val="center"/>
            </w:pPr>
            <w:r>
              <w:rPr>
                <w:rFonts w:ascii="Calibri" w:hAnsi="Calibri" w:eastAsia="黑体"/>
                <w:b/>
                <w:sz w:val="19"/>
              </w:rPr>
              <w:t>说明</w:t>
            </w:r>
          </w:p>
        </w:tc>
      </w:tr>
      <w:tr w14:paraId="7E0AB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3EF78764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VRRP</w:t>
            </w:r>
          </w:p>
        </w:tc>
        <w:tc>
          <w:tcPr>
            <w:tcW w:w="4366" w:type="dxa"/>
          </w:tcPr>
          <w:p w14:paraId="31979C5E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虚拟路由冗余协议，多台设备虚拟成一个网关IP</w:t>
            </w:r>
          </w:p>
        </w:tc>
      </w:tr>
      <w:tr w14:paraId="22734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038783F1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BFD</w:t>
            </w:r>
          </w:p>
        </w:tc>
        <w:tc>
          <w:tcPr>
            <w:tcW w:w="4366" w:type="dxa"/>
          </w:tcPr>
          <w:p w14:paraId="2BB5B2A7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双向转发检测，毫秒级链路故障感知，联动VRRP快速切换</w:t>
            </w:r>
          </w:p>
        </w:tc>
      </w:tr>
      <w:tr w14:paraId="3128F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61C751A2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Eth-Trunk</w:t>
            </w:r>
          </w:p>
        </w:tc>
        <w:tc>
          <w:tcPr>
            <w:tcW w:w="4366" w:type="dxa"/>
          </w:tcPr>
          <w:p w14:paraId="64D9D8D8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链路聚合，多物理口捆绑为一条逻辑链路提升带宽与冗余</w:t>
            </w:r>
          </w:p>
        </w:tc>
      </w:tr>
      <w:tr w14:paraId="79C59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034E88D9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STP</w:t>
            </w:r>
          </w:p>
        </w:tc>
        <w:tc>
          <w:tcPr>
            <w:tcW w:w="4366" w:type="dxa"/>
          </w:tcPr>
          <w:p w14:paraId="4CDE48F0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生成树协议，防止二层环路</w:t>
            </w:r>
          </w:p>
        </w:tc>
      </w:tr>
      <w:tr w14:paraId="0C009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3CD1F059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easy-ip</w:t>
            </w:r>
          </w:p>
        </w:tc>
        <w:tc>
          <w:tcPr>
            <w:tcW w:w="4366" w:type="dxa"/>
          </w:tcPr>
          <w:p w14:paraId="50C8883B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源NAT方式，直接复用出接口IP做地址转换</w:t>
            </w:r>
          </w:p>
        </w:tc>
      </w:tr>
      <w:tr w14:paraId="193E1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33482902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OSPF</w:t>
            </w:r>
          </w:p>
        </w:tc>
        <w:tc>
          <w:tcPr>
            <w:tcW w:w="4366" w:type="dxa"/>
          </w:tcPr>
          <w:p w14:paraId="45160521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开放最短路径优先动态路由协议</w:t>
            </w:r>
          </w:p>
        </w:tc>
      </w:tr>
    </w:tbl>
    <w:p w14:paraId="3DE05EF9">
      <w:pPr>
        <w:spacing w:after="0"/>
      </w:pPr>
    </w:p>
    <w:p w14:paraId="550D9EE5">
      <w:pPr>
        <w:pStyle w:val="3"/>
      </w:pPr>
      <w:r>
        <w:t>2 总体描述</w:t>
      </w:r>
    </w:p>
    <w:p w14:paraId="3A00745F">
      <w:pPr>
        <w:pStyle w:val="4"/>
      </w:pPr>
      <w:r>
        <w:t>2.1 运行环境</w:t>
      </w:r>
    </w:p>
    <w:p w14:paraId="1046A6D6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Windows 11 + 华为 eNSP（需注册虚拟网卡，建议以管理员运行）；</w:t>
      </w:r>
    </w:p>
    <w:p w14:paraId="53F04A89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设备：S5700 交换机×3（SW1/SW2/SW3）、AR2220 路由器×3（R1/R2/R4）、USG</w:t>
      </w:r>
      <w:r>
        <w:rPr>
          <w:rFonts w:hint="eastAsia"/>
          <w:b w:val="0"/>
          <w:sz w:val="22"/>
          <w:lang w:eastAsia="zh-CN"/>
        </w:rPr>
        <w:t>5500</w:t>
      </w:r>
      <w:r>
        <w:rPr>
          <w:rFonts w:ascii="Calibri" w:hAnsi="Calibri" w:eastAsia="宋体"/>
          <w:b w:val="0"/>
          <w:sz w:val="22"/>
        </w:rPr>
        <w:t xml:space="preserve"> 防火墙×1；</w:t>
      </w:r>
    </w:p>
    <w:p w14:paraId="2952E69B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云设备(Cloud)桥接宿主机网卡，外网侧部署 Linux FTP 服务器（172.16.0.2）；</w:t>
      </w:r>
    </w:p>
    <w:p w14:paraId="4460F9A6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终端PC使用 eNSP 内置 PC（DHCP 获取地址）。</w:t>
      </w:r>
    </w:p>
    <w:p w14:paraId="68DEE32E">
      <w:pPr>
        <w:pStyle w:val="4"/>
      </w:pPr>
      <w:r>
        <w:t>2.2 约束与假设</w:t>
      </w:r>
    </w:p>
    <w:p w14:paraId="150A6C22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USG</w:t>
      </w:r>
      <w:r>
        <w:rPr>
          <w:rFonts w:hint="eastAsia"/>
          <w:b w:val="0"/>
          <w:sz w:val="22"/>
          <w:lang w:eastAsia="zh-CN"/>
        </w:rPr>
        <w:t>5500</w:t>
      </w:r>
      <w:r>
        <w:rPr>
          <w:rFonts w:ascii="Calibri" w:hAnsi="Calibri" w:eastAsia="宋体"/>
          <w:b w:val="0"/>
          <w:sz w:val="22"/>
        </w:rPr>
        <w:t xml:space="preserve"> </w:t>
      </w:r>
      <w:r>
        <w:rPr>
          <w:rFonts w:hint="eastAsia"/>
          <w:b w:val="0"/>
          <w:sz w:val="22"/>
          <w:lang w:val="en-US" w:eastAsia="zh-CN"/>
        </w:rPr>
        <w:t>属于v5版本固件，注意interzone间策略要同步打开</w:t>
      </w:r>
      <w:r>
        <w:rPr>
          <w:rFonts w:ascii="Calibri" w:hAnsi="Calibri" w:eastAsia="宋体"/>
          <w:b w:val="0"/>
          <w:sz w:val="22"/>
        </w:rPr>
        <w:t>；</w:t>
      </w:r>
    </w:p>
    <w:p w14:paraId="184C9821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仿真环境默认关闭 eNSP 设备的节能等待，建议将设备启动时间错开以降低宿主机瞬时负载；</w:t>
      </w:r>
    </w:p>
    <w:p w14:paraId="2399393B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SW3/SW8 属免配置接入设备，仅按需处理 STP 阻塞端口。</w:t>
      </w:r>
    </w:p>
    <w:p w14:paraId="188B1362">
      <w:pPr>
        <w:pStyle w:val="3"/>
      </w:pPr>
      <w:r>
        <w:t>3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746"/>
        <w:gridCol w:w="1746"/>
        <w:gridCol w:w="1746"/>
        <w:gridCol w:w="1746"/>
      </w:tblGrid>
      <w:tr w14:paraId="33FD4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  <w:shd w:val="clear" w:color="auto" w:fill="D9E2F3"/>
          </w:tcPr>
          <w:p w14:paraId="249A643B">
            <w:pPr>
              <w:spacing w:after="40"/>
              <w:jc w:val="center"/>
            </w:pPr>
            <w:r>
              <w:rPr>
                <w:rFonts w:ascii="Calibri" w:hAnsi="Calibri" w:eastAsia="黑体"/>
                <w:b/>
                <w:sz w:val="19"/>
              </w:rPr>
              <w:t>编号</w:t>
            </w:r>
          </w:p>
        </w:tc>
        <w:tc>
          <w:tcPr>
            <w:tcW w:w="1746" w:type="dxa"/>
            <w:shd w:val="clear" w:color="auto" w:fill="D9E2F3"/>
          </w:tcPr>
          <w:p w14:paraId="30BA8C12">
            <w:pPr>
              <w:spacing w:after="40"/>
              <w:jc w:val="center"/>
            </w:pPr>
            <w:r>
              <w:rPr>
                <w:rFonts w:ascii="Calibri" w:hAnsi="Calibri" w:eastAsia="黑体"/>
                <w:b/>
                <w:sz w:val="19"/>
              </w:rPr>
              <w:t>功能模块</w:t>
            </w:r>
          </w:p>
        </w:tc>
        <w:tc>
          <w:tcPr>
            <w:tcW w:w="1746" w:type="dxa"/>
            <w:shd w:val="clear" w:color="auto" w:fill="D9E2F3"/>
          </w:tcPr>
          <w:p w14:paraId="3CAE231D">
            <w:pPr>
              <w:spacing w:after="40"/>
              <w:jc w:val="center"/>
            </w:pPr>
            <w:r>
              <w:rPr>
                <w:rFonts w:ascii="Calibri" w:hAnsi="Calibri" w:eastAsia="黑体"/>
                <w:b/>
                <w:sz w:val="19"/>
              </w:rPr>
              <w:t>需求描述</w:t>
            </w:r>
          </w:p>
        </w:tc>
        <w:tc>
          <w:tcPr>
            <w:tcW w:w="1746" w:type="dxa"/>
            <w:shd w:val="clear" w:color="auto" w:fill="D9E2F3"/>
          </w:tcPr>
          <w:p w14:paraId="29E91C9C">
            <w:pPr>
              <w:spacing w:after="40"/>
              <w:jc w:val="center"/>
            </w:pPr>
            <w:r>
              <w:rPr>
                <w:rFonts w:ascii="Calibri" w:hAnsi="Calibri" w:eastAsia="黑体"/>
                <w:b/>
                <w:sz w:val="19"/>
              </w:rPr>
              <w:t>优先级</w:t>
            </w:r>
          </w:p>
        </w:tc>
        <w:tc>
          <w:tcPr>
            <w:tcW w:w="1746" w:type="dxa"/>
            <w:shd w:val="clear" w:color="auto" w:fill="D9E2F3"/>
          </w:tcPr>
          <w:p w14:paraId="006263F8">
            <w:pPr>
              <w:spacing w:after="40"/>
              <w:jc w:val="center"/>
            </w:pPr>
            <w:r>
              <w:rPr>
                <w:rFonts w:ascii="Calibri" w:hAnsi="Calibri" w:eastAsia="黑体"/>
                <w:b/>
                <w:sz w:val="19"/>
              </w:rPr>
              <w:t>验收标准</w:t>
            </w:r>
          </w:p>
        </w:tc>
      </w:tr>
      <w:tr w14:paraId="13541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</w:tcPr>
          <w:p w14:paraId="131C88FE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FR-01</w:t>
            </w:r>
          </w:p>
        </w:tc>
        <w:tc>
          <w:tcPr>
            <w:tcW w:w="1746" w:type="dxa"/>
          </w:tcPr>
          <w:p w14:paraId="0013056F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VLAN规划</w:t>
            </w:r>
          </w:p>
        </w:tc>
        <w:tc>
          <w:tcPr>
            <w:tcW w:w="1746" w:type="dxa"/>
          </w:tcPr>
          <w:p w14:paraId="34A315F2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核心交换机创建VLAN2(互联)/VLAN10(业务)，端口按规划划入</w:t>
            </w:r>
          </w:p>
        </w:tc>
        <w:tc>
          <w:tcPr>
            <w:tcW w:w="1746" w:type="dxa"/>
          </w:tcPr>
          <w:p w14:paraId="330AB39A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高</w:t>
            </w:r>
          </w:p>
        </w:tc>
        <w:tc>
          <w:tcPr>
            <w:tcW w:w="1746" w:type="dxa"/>
          </w:tcPr>
          <w:p w14:paraId="5E09F81D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display vlan 拓扑一致</w:t>
            </w:r>
          </w:p>
        </w:tc>
      </w:tr>
      <w:tr w14:paraId="27297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</w:tcPr>
          <w:p w14:paraId="6965A8A3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FR-02</w:t>
            </w:r>
          </w:p>
        </w:tc>
        <w:tc>
          <w:tcPr>
            <w:tcW w:w="1746" w:type="dxa"/>
          </w:tcPr>
          <w:p w14:paraId="6C1EE9BD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链路聚合</w:t>
            </w:r>
          </w:p>
        </w:tc>
        <w:tc>
          <w:tcPr>
            <w:tcW w:w="1746" w:type="dxa"/>
          </w:tcPr>
          <w:p w14:paraId="1886D38D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SW1-SW2间两链路捆绑为Eth-Trunk0，trunk放行VLAN 2/10</w:t>
            </w:r>
          </w:p>
        </w:tc>
        <w:tc>
          <w:tcPr>
            <w:tcW w:w="1746" w:type="dxa"/>
          </w:tcPr>
          <w:p w14:paraId="2EF618E8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高</w:t>
            </w:r>
          </w:p>
        </w:tc>
        <w:tc>
          <w:tcPr>
            <w:tcW w:w="1746" w:type="dxa"/>
          </w:tcPr>
          <w:p w14:paraId="0D65069F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display eth-trunk 0 状态UP</w:t>
            </w:r>
          </w:p>
        </w:tc>
      </w:tr>
      <w:tr w14:paraId="68DDD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</w:tcPr>
          <w:p w14:paraId="16B1A8CD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FR-03</w:t>
            </w:r>
          </w:p>
        </w:tc>
        <w:tc>
          <w:tcPr>
            <w:tcW w:w="1746" w:type="dxa"/>
          </w:tcPr>
          <w:p w14:paraId="3B1739F9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网关冗余</w:t>
            </w:r>
          </w:p>
        </w:tc>
        <w:tc>
          <w:tcPr>
            <w:tcW w:w="1746" w:type="dxa"/>
          </w:tcPr>
          <w:p w14:paraId="6595AF61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Vlanif10/Vlanif2 与路由器侧配置VRRP(10/2/1三组)，BFD联动</w:t>
            </w:r>
          </w:p>
        </w:tc>
        <w:tc>
          <w:tcPr>
            <w:tcW w:w="1746" w:type="dxa"/>
          </w:tcPr>
          <w:p w14:paraId="68CDE71A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高</w:t>
            </w:r>
          </w:p>
        </w:tc>
        <w:tc>
          <w:tcPr>
            <w:tcW w:w="1746" w:type="dxa"/>
          </w:tcPr>
          <w:p w14:paraId="2E4AC0FA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display vrrp brief 主备正确</w:t>
            </w:r>
          </w:p>
        </w:tc>
      </w:tr>
      <w:tr w14:paraId="2D86B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</w:tcPr>
          <w:p w14:paraId="224A815A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FR-04</w:t>
            </w:r>
          </w:p>
        </w:tc>
        <w:tc>
          <w:tcPr>
            <w:tcW w:w="1746" w:type="dxa"/>
          </w:tcPr>
          <w:p w14:paraId="322BBAA1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DHCP</w:t>
            </w:r>
          </w:p>
        </w:tc>
        <w:tc>
          <w:tcPr>
            <w:tcW w:w="1746" w:type="dxa"/>
          </w:tcPr>
          <w:p w14:paraId="56225D36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SW上配置全局地址池(排除.2/.3，租期30天，DNS下发)</w:t>
            </w:r>
          </w:p>
        </w:tc>
        <w:tc>
          <w:tcPr>
            <w:tcW w:w="1746" w:type="dxa"/>
          </w:tcPr>
          <w:p w14:paraId="3DFA4A73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高</w:t>
            </w:r>
          </w:p>
        </w:tc>
        <w:tc>
          <w:tcPr>
            <w:tcW w:w="1746" w:type="dxa"/>
          </w:tcPr>
          <w:p w14:paraId="146723A7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PC自动获取192.168.1.x</w:t>
            </w:r>
          </w:p>
        </w:tc>
      </w:tr>
      <w:tr w14:paraId="378DB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</w:tcPr>
          <w:p w14:paraId="7F27C7EA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FR-05</w:t>
            </w:r>
          </w:p>
        </w:tc>
        <w:tc>
          <w:tcPr>
            <w:tcW w:w="1746" w:type="dxa"/>
          </w:tcPr>
          <w:p w14:paraId="44CFF338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STP处理</w:t>
            </w:r>
          </w:p>
        </w:tc>
        <w:tc>
          <w:tcPr>
            <w:tcW w:w="1746" w:type="dxa"/>
          </w:tcPr>
          <w:p w14:paraId="682D1164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观察阻塞端口并对业务口按需stp disable</w:t>
            </w:r>
          </w:p>
        </w:tc>
        <w:tc>
          <w:tcPr>
            <w:tcW w:w="1746" w:type="dxa"/>
          </w:tcPr>
          <w:p w14:paraId="78D46A2A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中</w:t>
            </w:r>
          </w:p>
        </w:tc>
        <w:tc>
          <w:tcPr>
            <w:tcW w:w="1746" w:type="dxa"/>
          </w:tcPr>
          <w:p w14:paraId="677EE129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业务口无DISCARDING</w:t>
            </w:r>
          </w:p>
        </w:tc>
      </w:tr>
      <w:tr w14:paraId="08C05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</w:tcPr>
          <w:p w14:paraId="51E5FC8F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FR-06</w:t>
            </w:r>
          </w:p>
        </w:tc>
        <w:tc>
          <w:tcPr>
            <w:tcW w:w="1746" w:type="dxa"/>
          </w:tcPr>
          <w:p w14:paraId="6FECD90F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出口路由</w:t>
            </w:r>
          </w:p>
        </w:tc>
        <w:tc>
          <w:tcPr>
            <w:tcW w:w="1746" w:type="dxa"/>
          </w:tcPr>
          <w:p w14:paraId="0F09BCB8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R1/R2配VRRP(虚IP 4.4.4.1)+BFD；静态路由回内网；OSPF引入</w:t>
            </w:r>
          </w:p>
        </w:tc>
        <w:tc>
          <w:tcPr>
            <w:tcW w:w="1746" w:type="dxa"/>
          </w:tcPr>
          <w:p w14:paraId="5520EBBE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高</w:t>
            </w:r>
          </w:p>
        </w:tc>
        <w:tc>
          <w:tcPr>
            <w:tcW w:w="1746" w:type="dxa"/>
          </w:tcPr>
          <w:p w14:paraId="3835C7EE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路由表含内网/OSPF路由</w:t>
            </w:r>
          </w:p>
        </w:tc>
      </w:tr>
      <w:tr w14:paraId="28D62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</w:tcPr>
          <w:p w14:paraId="4331B45E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FR-07</w:t>
            </w:r>
          </w:p>
        </w:tc>
        <w:tc>
          <w:tcPr>
            <w:tcW w:w="1746" w:type="dxa"/>
          </w:tcPr>
          <w:p w14:paraId="2DB35CF4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动态路由</w:t>
            </w:r>
          </w:p>
        </w:tc>
        <w:tc>
          <w:tcPr>
            <w:tcW w:w="1746" w:type="dxa"/>
          </w:tcPr>
          <w:p w14:paraId="07EFDA82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FW/R1/R2运行OSPF区域0；FW宣告默认路由并引入直连</w:t>
            </w:r>
          </w:p>
        </w:tc>
        <w:tc>
          <w:tcPr>
            <w:tcW w:w="1746" w:type="dxa"/>
          </w:tcPr>
          <w:p w14:paraId="0890F222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高</w:t>
            </w:r>
          </w:p>
        </w:tc>
        <w:tc>
          <w:tcPr>
            <w:tcW w:w="1746" w:type="dxa"/>
          </w:tcPr>
          <w:p w14:paraId="3322F63D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OSPF邻居Full</w:t>
            </w:r>
          </w:p>
        </w:tc>
      </w:tr>
      <w:tr w14:paraId="226F6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</w:tcPr>
          <w:p w14:paraId="3D0E2311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FR-08</w:t>
            </w:r>
          </w:p>
        </w:tc>
        <w:tc>
          <w:tcPr>
            <w:tcW w:w="1746" w:type="dxa"/>
          </w:tcPr>
          <w:p w14:paraId="43C88D2A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安全策略</w:t>
            </w:r>
          </w:p>
        </w:tc>
        <w:tc>
          <w:tcPr>
            <w:tcW w:w="1746" w:type="dxa"/>
          </w:tcPr>
          <w:p w14:paraId="15EC3A5B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FW划分trust/untrust区域，放行192.168.1.0/24出方向</w:t>
            </w:r>
          </w:p>
        </w:tc>
        <w:tc>
          <w:tcPr>
            <w:tcW w:w="1746" w:type="dxa"/>
          </w:tcPr>
          <w:p w14:paraId="285E15DC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高</w:t>
            </w:r>
          </w:p>
        </w:tc>
        <w:tc>
          <w:tcPr>
            <w:tcW w:w="1746" w:type="dxa"/>
          </w:tcPr>
          <w:p w14:paraId="4E9EA3F3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内网可访问外网</w:t>
            </w:r>
          </w:p>
        </w:tc>
      </w:tr>
      <w:tr w14:paraId="3CD55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</w:tcPr>
          <w:p w14:paraId="58C94DE4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FR-09</w:t>
            </w:r>
          </w:p>
        </w:tc>
        <w:tc>
          <w:tcPr>
            <w:tcW w:w="1746" w:type="dxa"/>
          </w:tcPr>
          <w:p w14:paraId="69E92CD7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NAT转换</w:t>
            </w:r>
          </w:p>
        </w:tc>
        <w:tc>
          <w:tcPr>
            <w:tcW w:w="1746" w:type="dxa"/>
          </w:tcPr>
          <w:p w14:paraId="7C492CE5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easy-ip源NAT，复用出接口地址</w:t>
            </w:r>
          </w:p>
        </w:tc>
        <w:tc>
          <w:tcPr>
            <w:tcW w:w="1746" w:type="dxa"/>
          </w:tcPr>
          <w:p w14:paraId="38921B72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高</w:t>
            </w:r>
          </w:p>
        </w:tc>
        <w:tc>
          <w:tcPr>
            <w:tcW w:w="1746" w:type="dxa"/>
          </w:tcPr>
          <w:p w14:paraId="74619497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会话表可见转换条目</w:t>
            </w:r>
          </w:p>
        </w:tc>
      </w:tr>
      <w:tr w14:paraId="1482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</w:tcPr>
          <w:p w14:paraId="425387F0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FR-10</w:t>
            </w:r>
          </w:p>
        </w:tc>
        <w:tc>
          <w:tcPr>
            <w:tcW w:w="1746" w:type="dxa"/>
          </w:tcPr>
          <w:p w14:paraId="5FC51210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外网仿真</w:t>
            </w:r>
          </w:p>
        </w:tc>
        <w:tc>
          <w:tcPr>
            <w:tcW w:w="1746" w:type="dxa"/>
          </w:tcPr>
          <w:p w14:paraId="4D62357B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R4仅配接口地址，不配置任何静态路由</w:t>
            </w:r>
          </w:p>
        </w:tc>
        <w:tc>
          <w:tcPr>
            <w:tcW w:w="1746" w:type="dxa"/>
          </w:tcPr>
          <w:p w14:paraId="5D2EE0C4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高</w:t>
            </w:r>
          </w:p>
        </w:tc>
        <w:tc>
          <w:tcPr>
            <w:tcW w:w="1746" w:type="dxa"/>
          </w:tcPr>
          <w:p w14:paraId="5D6690B2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内网仍可访问172.16.0.2</w:t>
            </w:r>
          </w:p>
        </w:tc>
      </w:tr>
      <w:tr w14:paraId="3D2FE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6" w:type="dxa"/>
          </w:tcPr>
          <w:p w14:paraId="2DC301E7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FR-11</w:t>
            </w:r>
          </w:p>
        </w:tc>
        <w:tc>
          <w:tcPr>
            <w:tcW w:w="1746" w:type="dxa"/>
          </w:tcPr>
          <w:p w14:paraId="6415BD91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故障切换</w:t>
            </w:r>
          </w:p>
        </w:tc>
        <w:tc>
          <w:tcPr>
            <w:tcW w:w="1746" w:type="dxa"/>
          </w:tcPr>
          <w:p w14:paraId="1ED0D118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断开主链路，VRRP/BFD联动切换</w:t>
            </w:r>
          </w:p>
        </w:tc>
        <w:tc>
          <w:tcPr>
            <w:tcW w:w="1746" w:type="dxa"/>
          </w:tcPr>
          <w:p w14:paraId="7FCC2560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中</w:t>
            </w:r>
          </w:p>
        </w:tc>
        <w:tc>
          <w:tcPr>
            <w:tcW w:w="1746" w:type="dxa"/>
          </w:tcPr>
          <w:p w14:paraId="3FE6B288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切换毫秒级，业务基本无感</w:t>
            </w:r>
          </w:p>
        </w:tc>
      </w:tr>
    </w:tbl>
    <w:p w14:paraId="0FBFC8DE">
      <w:pPr>
        <w:spacing w:after="0"/>
      </w:pPr>
    </w:p>
    <w:p w14:paraId="6F372C3F">
      <w:pPr>
        <w:pStyle w:val="3"/>
      </w:pPr>
      <w:r>
        <w:t>4 非功能需求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3F653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  <w:shd w:val="clear" w:color="auto" w:fill="D9E2F3"/>
          </w:tcPr>
          <w:p w14:paraId="2B1E60BB">
            <w:pPr>
              <w:spacing w:after="40"/>
              <w:jc w:val="center"/>
            </w:pPr>
            <w:r>
              <w:rPr>
                <w:rFonts w:ascii="Calibri" w:hAnsi="Calibri" w:eastAsia="黑体"/>
                <w:b/>
                <w:sz w:val="19"/>
              </w:rPr>
              <w:t>类别</w:t>
            </w:r>
          </w:p>
        </w:tc>
        <w:tc>
          <w:tcPr>
            <w:tcW w:w="4366" w:type="dxa"/>
            <w:shd w:val="clear" w:color="auto" w:fill="D9E2F3"/>
          </w:tcPr>
          <w:p w14:paraId="0F51E134">
            <w:pPr>
              <w:spacing w:after="40"/>
              <w:jc w:val="center"/>
            </w:pPr>
            <w:r>
              <w:rPr>
                <w:rFonts w:ascii="Calibri" w:hAnsi="Calibri" w:eastAsia="黑体"/>
                <w:b/>
                <w:sz w:val="19"/>
              </w:rPr>
              <w:t>需求</w:t>
            </w:r>
          </w:p>
        </w:tc>
      </w:tr>
      <w:tr w14:paraId="2C2B3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2BFE3832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可用性</w:t>
            </w:r>
          </w:p>
        </w:tc>
        <w:tc>
          <w:tcPr>
            <w:tcW w:w="4366" w:type="dxa"/>
          </w:tcPr>
          <w:p w14:paraId="69B2EE3D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核心/出口设备双机冗余，单点故障不影响业务</w:t>
            </w:r>
          </w:p>
        </w:tc>
      </w:tr>
      <w:tr w14:paraId="00489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7FD8E5B6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可观测性</w:t>
            </w:r>
          </w:p>
        </w:tc>
        <w:tc>
          <w:tcPr>
            <w:tcW w:w="4366" w:type="dxa"/>
          </w:tcPr>
          <w:p w14:paraId="315ACC0E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提供display命令族完成路由/VRRP/STP/聚合/DHCP/NAT状态核查</w:t>
            </w:r>
          </w:p>
        </w:tc>
      </w:tr>
      <w:tr w14:paraId="166D6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058360A9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可复现性</w:t>
            </w:r>
          </w:p>
        </w:tc>
        <w:tc>
          <w:tcPr>
            <w:tcW w:w="4366" w:type="dxa"/>
          </w:tcPr>
          <w:p w14:paraId="65D4DDBF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配置按设备文件化保存（代码目录01~07），可粘贴复现</w:t>
            </w:r>
          </w:p>
        </w:tc>
      </w:tr>
      <w:tr w14:paraId="4BDDD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6BF7D7FF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安全性</w:t>
            </w:r>
          </w:p>
        </w:tc>
        <w:tc>
          <w:tcPr>
            <w:tcW w:w="4366" w:type="dxa"/>
          </w:tcPr>
          <w:p w14:paraId="264FAB59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防火墙默认拒绝、按源网段最小放行；NAT隐藏内网真实地址</w:t>
            </w:r>
          </w:p>
        </w:tc>
      </w:tr>
      <w:tr w14:paraId="68B74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2341C4C1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性能</w:t>
            </w:r>
          </w:p>
        </w:tc>
        <w:tc>
          <w:tcPr>
            <w:tcW w:w="4366" w:type="dxa"/>
          </w:tcPr>
          <w:p w14:paraId="194A302C">
            <w:pPr>
              <w:spacing w:after="40"/>
            </w:pPr>
            <w:r>
              <w:rPr>
                <w:rFonts w:ascii="Calibri" w:hAnsi="Calibri" w:eastAsia="宋体"/>
                <w:b w:val="0"/>
                <w:sz w:val="19"/>
              </w:rPr>
              <w:t>仿真环境资源占用可控（建议宿主机≥16GB内存）</w:t>
            </w:r>
          </w:p>
        </w:tc>
      </w:tr>
    </w:tbl>
    <w:p w14:paraId="0698ADEF">
      <w:pPr>
        <w:spacing w:after="0"/>
      </w:pPr>
    </w:p>
    <w:p w14:paraId="688A49EE">
      <w:pPr>
        <w:pStyle w:val="3"/>
      </w:pPr>
      <w:r>
        <w:t>5 交付物清单</w:t>
      </w:r>
    </w:p>
    <w:p w14:paraId="70D88BA8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代码：按设备分文件的 eNSP 配置</w:t>
      </w:r>
      <w:bookmarkStart w:id="0" w:name="_GoBack"/>
      <w:bookmarkEnd w:id="0"/>
      <w:r>
        <w:rPr>
          <w:rFonts w:ascii="Calibri" w:hAnsi="Calibri" w:eastAsia="宋体"/>
          <w:b w:val="0"/>
          <w:sz w:val="22"/>
        </w:rPr>
        <w:t>；</w:t>
      </w:r>
    </w:p>
    <w:p w14:paraId="5920DFE1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验收标准：display 状态核查 + 端到端业务 + 故障切换演练。</w:t>
      </w:r>
    </w:p>
    <w:sectPr>
      <w:footerReference r:id="rId5" w:type="default"/>
      <w:pgSz w:w="11906" w:h="16838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B5574">
    <w:pPr>
      <w:pStyle w:val="24"/>
      <w:jc w:val="center"/>
    </w:pPr>
    <w:r>
      <w:rPr>
        <w:rFonts w:ascii="Calibri" w:hAnsi="Calibri" w:eastAsia="宋体"/>
        <w:b w:val="0"/>
        <w:sz w:val="18"/>
      </w:rPr>
      <w:fldChar w:fldCharType="begin"/>
    </w:r>
    <w:r>
      <w:rPr>
        <w:rFonts w:ascii="Calibri" w:hAnsi="Calibri" w:eastAsia="宋体"/>
        <w:b w:val="0"/>
        <w:sz w:val="18"/>
      </w:rPr>
      <w:instrText xml:space="preserve">PAGE</w:instrText>
    </w:r>
    <w:r>
      <w:rPr>
        <w:rFonts w:ascii="Calibri" w:hAnsi="Calibri" w:eastAsia="宋体"/>
        <w:b w:val="0"/>
        <w:sz w:val="18"/>
      </w:rPr>
      <w:fldChar w:fldCharType="separate"/>
    </w:r>
    <w:r>
      <w:rPr>
        <w:rFonts w:ascii="Calibri" w:hAnsi="Calibri" w:eastAsia="宋体"/>
        <w:b w:val="0"/>
        <w:sz w:val="18"/>
      </w:rPr>
      <w:t>1</w:t>
    </w:r>
    <w:r>
      <w:rPr>
        <w:rFonts w:ascii="Calibri" w:hAnsi="Calibri" w:eastAsia="宋体"/>
        <w:b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3B38F0"/>
    <w:rsid w:val="5F0A2ABE"/>
    <w:rsid w:val="7D25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000000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120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3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230</Words>
  <Characters>269</Characters>
  <Lines>0</Lines>
  <Paragraphs>0</Paragraphs>
  <TotalTime>2</TotalTime>
  <ScaleCrop>false</ScaleCrop>
  <LinksUpToDate>false</LinksUpToDate>
  <CharactersWithSpaces>287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2026-10-19T09:26:14Z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eyJoZGlkIjoiY2Y3YzgxODRiYTY0ZTcxOWIzOTQyYjAzOWM1OWFjNzIifQ==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A3C61E67171D405885C56D885A9DF699_12</vt:lpwstr>
  </property>
</Properties>
</file>