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CS 330 Final Project – Design Decisions</w:t>
      </w:r>
    </w:p>
    <w:p>
      <w:pPr>
        <w:jc w:val="center"/>
      </w:pPr>
      <w:r>
        <w:t>Fatima Alzawar</w:t>
      </w:r>
    </w:p>
    <w:p>
      <w:r>
        <w:rPr>
          <w:b/>
        </w:rPr>
        <w:t xml:space="preserve">Development Choices. </w:t>
      </w:r>
      <w:r>
        <w:t>My final scene follows the professor-approved desk photograph. I modeled a desk surface, articulated lamp, coffee mug with pencils, open notebook, stack of books, and potted plant. I intentionally used the course primitive meshes so the world remains low polygon. The scene includes a plane, boxes, cylinders, cones, a tapered cylinder, spheres, and a torus. The lamp and mug are multi-shape objects. Scaling, rotation, and translation place the primitives relative to the reference image: flattened boxes form books and notebook pages, a cylinder and torus form the mug, cylinders and cones form pencils, and the lamp combines a base, rotated support arms, joint, head, and illuminated underside.</w:t>
      </w:r>
    </w:p>
    <w:p>
      <w:r>
        <w:rPr>
          <w:b/>
        </w:rPr>
        <w:t xml:space="preserve">Textures and Lighting. </w:t>
      </w:r>
      <w:r>
        <w:t>I used the high-resolution texture assets supplied with the CS330 project. Rustic wood is applied to the desk and lamp arms, while stainless steel is used on the lamp base and head. The wood desk texture is tiled across the plane rather than stretched once, which preserves detail and incorporates the complex texturing technique requested in earlier feedback. The lighting uses two point lights and all Phong components: ambient, diffuse, and specular. A warm orange point light is positioned near the lamp head, and a cooler fill light is placed to the front-left so objects do not become completely dark as the camera moves.</w:t>
      </w:r>
    </w:p>
    <w:p>
      <w:r>
        <w:rPr>
          <w:b/>
        </w:rPr>
        <w:t xml:space="preserve">Navigation. </w:t>
      </w:r>
      <w:r>
        <w:t>W and S move forward and backward, A and D move left and right, and Q and E move vertically. Mouse movement changes yaw and pitch so the user can look in every direction without translating the camera. The mouse wheel adjusts travel speed at runtime. The B key toggles between perspective and orthographic projection while keeping the camera’s current position and orientation. P selects perspective directly and O selects orthographic directly.</w:t>
      </w:r>
    </w:p>
    <w:p>
      <w:r>
        <w:br w:type="page"/>
      </w:r>
    </w:p>
    <w:p>
      <w:r>
        <w:rPr>
          <w:b/>
        </w:rPr>
        <w:t xml:space="preserve">Custom Functions and Organization. </w:t>
      </w:r>
      <w:r>
        <w:t>The code is separated by responsibility instead of placing all work in one function. PrepareScene() loads textures and primitive meshes before rendering. DefineObjectMaterials() stores reusable material properties for wood, metal, ceramic, matte surfaces, and leaves. SetupSceneLights() contains the two point-light configurations. SetTransformations() applies scale, rotation, and translation consistently. SetShaderTexture(), SetTextureUVScale(), SetShaderColor(), and SetShaderMaterial() provide reusable shader setup. RenderScene() is organized by real-world object, and repeated forms reuse already loaded meshes. For example, all books reuse one box mesh, plant leaves reuse one sphere mesh, and the pencils reuse cylinder and cone meshes with different transforms.</w:t>
      </w:r>
    </w:p>
    <w:p>
      <w:r>
        <w:rPr>
          <w:b/>
        </w:rPr>
        <w:t xml:space="preserve">Reflection and Refinement. </w:t>
      </w:r>
      <w:r>
        <w:t>The most important refinement was bringing the project into alignment with the updated reference photograph and previous instructor feedback. Earlier work focused too heavily on one lamp and did not make the complex texturing technique obvious. The final scene adds the remaining desk objects, uses visible texture tiling, includes two lights, and retains complete camera navigation. I also revised the projection controls so changing display type does not reset the camera orientation. These choices make the final world closer to the approved photograph and directly address the final-project rubric.</w:t>
      </w:r>
    </w:p>
    <w:p>
      <w:r>
        <w:rPr>
          <w:b/>
        </w:rPr>
        <w:t xml:space="preserve">Controls. </w:t>
      </w:r>
      <w:r>
        <w:t>W/S: forward/backward; A/D: left/right; Q/E: up/down; mouse: look; mouse wheel: movement speed; B: toggle perspective/orthographic; P: perspective; O: orthographic; Esc: exit.</w:t>
      </w:r>
    </w:p>
    <w:p>
      <w:r>
        <w:rPr>
          <w:b/>
        </w:rPr>
        <w:t xml:space="preserve">AI Usage Acknowledgment. </w:t>
      </w:r>
      <w:r>
        <w:t>Generative AI was used as a support tool to review the rubric, organize this reflection, and assist with code revision and troubleshooting. I will build and test the final Visual Studio project before submission. OpenAI. (2026). ChatGPT (GPT-5.6 Sol) [Large language model].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