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C6EC" w14:textId="7967AA6B" w:rsidR="00F45B30" w:rsidRDefault="008E37EF">
      <w:pPr>
        <w:rPr>
          <w:rFonts w:ascii="Times New Roman" w:hAnsi="Times New Roman" w:cs="Times New Roman"/>
          <w:sz w:val="28"/>
          <w:szCs w:val="28"/>
        </w:rPr>
      </w:pPr>
      <w:r w:rsidRPr="008E37EF">
        <w:rPr>
          <w:rFonts w:ascii="Times New Roman" w:hAnsi="Times New Roman" w:cs="Times New Roman"/>
          <w:sz w:val="28"/>
          <w:szCs w:val="28"/>
        </w:rPr>
        <w:t xml:space="preserve">Calculate the pin pitch required to keep the maximum fuel cladding temperature in the hottest rod below </w:t>
      </w:r>
      <m:oMath>
        <m:r>
          <w:rPr>
            <w:rFonts w:ascii="Cambria Math" w:hAnsi="Cambria Math" w:cs="Times New Roman"/>
            <w:sz w:val="28"/>
            <w:szCs w:val="28"/>
          </w:rPr>
          <m:t>T = 820 K</m:t>
        </m:r>
      </m:oMath>
      <w:r w:rsidRPr="008E37EF">
        <w:rPr>
          <w:rFonts w:ascii="Times New Roman" w:hAnsi="Times New Roman" w:cs="Times New Roman"/>
          <w:sz w:val="28"/>
          <w:szCs w:val="28"/>
        </w:rPr>
        <w:t xml:space="preserve"> in</w:t>
      </w:r>
      <w:r w:rsidR="009B3AB1">
        <w:rPr>
          <w:rFonts w:ascii="Times New Roman" w:hAnsi="Times New Roman" w:cs="Times New Roman"/>
          <w:sz w:val="28"/>
          <w:szCs w:val="28"/>
          <w:lang w:val="en-US"/>
        </w:rPr>
        <w:t xml:space="preserve"> </w:t>
      </w:r>
      <w:r w:rsidRPr="008E37EF">
        <w:rPr>
          <w:rFonts w:ascii="Times New Roman" w:hAnsi="Times New Roman" w:cs="Times New Roman"/>
          <w:sz w:val="28"/>
          <w:szCs w:val="28"/>
        </w:rPr>
        <w:t xml:space="preserve">sodium and lead, </w:t>
      </w:r>
      <w:proofErr w:type="gramStart"/>
      <w:r w:rsidRPr="008E37EF">
        <w:rPr>
          <w:rFonts w:ascii="Times New Roman" w:hAnsi="Times New Roman" w:cs="Times New Roman"/>
          <w:sz w:val="28"/>
          <w:szCs w:val="28"/>
        </w:rPr>
        <w:t>assuming</w:t>
      </w:r>
      <w:proofErr w:type="gramEnd"/>
      <w:r w:rsidRPr="008E37EF">
        <w:rPr>
          <w:rFonts w:ascii="Times New Roman" w:hAnsi="Times New Roman" w:cs="Times New Roman"/>
          <w:sz w:val="28"/>
          <w:szCs w:val="28"/>
        </w:rPr>
        <w:t xml:space="preserve"> </w:t>
      </w:r>
    </w:p>
    <w:p w14:paraId="7F93C542" w14:textId="13DCCC5F" w:rsidR="00A37CBE" w:rsidRPr="00131BBC" w:rsidRDefault="00E3559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vertAlign w:val="subscript"/>
              </w:rPr>
              <m:t>rod</m:t>
            </m:r>
          </m:sub>
        </m:sSub>
        <m:r>
          <w:rPr>
            <w:rFonts w:ascii="Cambria Math" w:hAnsi="Cambria Math" w:cs="Times New Roman"/>
            <w:sz w:val="28"/>
            <w:szCs w:val="28"/>
          </w:rPr>
          <m:t>=10.0 mm</m:t>
        </m:r>
      </m:oMath>
      <w:r w:rsidR="008E37EF" w:rsidRPr="008E37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vertAlign w:val="subscript"/>
              </w:rPr>
              <m:t>fuel</m:t>
            </m:r>
          </m:sub>
        </m:sSub>
        <m:r>
          <w:rPr>
            <w:rFonts w:ascii="Cambria Math" w:hAnsi="Cambria Math" w:cs="Times New Roman"/>
            <w:sz w:val="28"/>
            <w:szCs w:val="28"/>
          </w:rPr>
          <m:t>=100 cm</m:t>
        </m:r>
      </m:oMath>
      <w:r w:rsidR="008E37EF" w:rsidRPr="008E37EF">
        <w:rPr>
          <w:rFonts w:ascii="Times New Roman" w:hAnsi="Times New Roman" w:cs="Times New Roman"/>
          <w:sz w:val="28"/>
          <w:szCs w:val="28"/>
        </w:rPr>
        <w:t xml:space="preserve">. </w:t>
      </w:r>
    </w:p>
    <w:p w14:paraId="16A4D82F" w14:textId="75F67EE2" w:rsidR="00A37CBE" w:rsidRPr="00717730" w:rsidRDefault="00E3559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vertAlign w:val="subscript"/>
              </w:rPr>
              <m:t>Pb</m:t>
            </m:r>
          </m:sub>
        </m:sSub>
        <m:r>
          <w:rPr>
            <w:rFonts w:ascii="Cambria Math" w:hAnsi="Cambria Math" w:cs="Times New Roman"/>
            <w:sz w:val="28"/>
            <w:szCs w:val="28"/>
          </w:rPr>
          <m:t>=1.5 m</m:t>
        </m:r>
        <m:r>
          <m:rPr>
            <m:lit/>
          </m:rPr>
          <w:rPr>
            <w:rFonts w:ascii="Cambria Math" w:hAnsi="Cambria Math" w:cs="Times New Roman"/>
            <w:sz w:val="28"/>
            <w:szCs w:val="28"/>
          </w:rPr>
          <m:t>/</m:t>
        </m:r>
        <m:r>
          <w:rPr>
            <w:rFonts w:ascii="Cambria Math" w:hAnsi="Cambria Math" w:cs="Times New Roman"/>
            <w:sz w:val="28"/>
            <w:szCs w:val="28"/>
          </w:rPr>
          <m:t>s</m:t>
        </m:r>
      </m:oMath>
      <w:r w:rsidR="008E37EF" w:rsidRPr="008E37E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vertAlign w:val="subscript"/>
              </w:rPr>
              <m:t>Na</m:t>
            </m:r>
          </m:sub>
        </m:sSub>
        <m:r>
          <w:rPr>
            <w:rFonts w:ascii="Cambria Math" w:hAnsi="Cambria Math" w:cs="Times New Roman"/>
            <w:sz w:val="28"/>
            <w:szCs w:val="28"/>
          </w:rPr>
          <m:t>=8.0m</m:t>
        </m:r>
        <m:r>
          <m:rPr>
            <m:lit/>
          </m:rPr>
          <w:rPr>
            <w:rFonts w:ascii="Cambria Math" w:hAnsi="Cambria Math" w:cs="Times New Roman"/>
            <w:sz w:val="28"/>
            <w:szCs w:val="28"/>
          </w:rPr>
          <m:t>/</m:t>
        </m:r>
        <m:r>
          <w:rPr>
            <w:rFonts w:ascii="Cambria Math" w:hAnsi="Cambria Math" w:cs="Times New Roman"/>
            <w:sz w:val="28"/>
            <w:szCs w:val="28"/>
          </w:rPr>
          <m:t>s</m:t>
        </m:r>
      </m:oMath>
      <w:r w:rsidR="008E37EF" w:rsidRPr="008E37EF">
        <w:rPr>
          <w:rFonts w:ascii="Times New Roman" w:hAnsi="Times New Roman" w:cs="Times New Roman"/>
          <w:sz w:val="28"/>
          <w:szCs w:val="28"/>
        </w:rPr>
        <w:t xml:space="preserve"> </w:t>
      </w:r>
    </w:p>
    <w:p w14:paraId="01C3B845" w14:textId="31A4859B" w:rsidR="00A37CBE" w:rsidRPr="00C12487" w:rsidRDefault="00E3559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vertAlign w:val="subscript"/>
              </w:rPr>
              <m:t>in</m:t>
            </m:r>
          </m:sub>
        </m:sSub>
      </m:oMath>
      <w:r w:rsidR="008E37EF" w:rsidRPr="008E37EF">
        <w:rPr>
          <w:rFonts w:ascii="Times New Roman" w:hAnsi="Times New Roman" w:cs="Times New Roman"/>
          <w:sz w:val="28"/>
          <w:szCs w:val="28"/>
        </w:rPr>
        <w:t xml:space="preserve"> </w:t>
      </w:r>
      <w:r w:rsidR="008E37EF" w:rsidRPr="008E37EF">
        <w:rPr>
          <w:rFonts w:ascii="Times New Roman" w:hAnsi="Times New Roman" w:cs="Times New Roman"/>
          <w:b/>
          <w:bCs/>
          <w:sz w:val="28"/>
          <w:szCs w:val="28"/>
        </w:rPr>
        <w:t xml:space="preserve">average </w:t>
      </w:r>
      <w:r w:rsidR="008E37EF" w:rsidRPr="008E37EF">
        <w:rPr>
          <w:rFonts w:ascii="Times New Roman" w:hAnsi="Times New Roman" w:cs="Times New Roman"/>
          <w:sz w:val="28"/>
          <w:szCs w:val="28"/>
        </w:rPr>
        <w:t xml:space="preserve">linear power density </w:t>
      </w:r>
      <m:oMath>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cs="Times New Roman"/>
                <w:sz w:val="28"/>
                <w:szCs w:val="28"/>
                <w:vertAlign w:val="subscript"/>
              </w:rPr>
              <m:t>ave</m:t>
            </m:r>
          </m:sub>
        </m:sSub>
        <m:r>
          <w:rPr>
            <w:rFonts w:ascii="Cambria Math" w:hAnsi="Cambria Math" w:cs="Times New Roman"/>
            <w:sz w:val="28"/>
            <w:szCs w:val="28"/>
          </w:rPr>
          <m:t>=20kW</m:t>
        </m:r>
        <m:r>
          <m:rPr>
            <m:lit/>
          </m:rPr>
          <w:rPr>
            <w:rFonts w:ascii="Cambria Math" w:hAnsi="Cambria Math" w:cs="Times New Roman"/>
            <w:sz w:val="28"/>
            <w:szCs w:val="28"/>
          </w:rPr>
          <m:t>/</m:t>
        </m:r>
        <m:r>
          <w:rPr>
            <w:rFonts w:ascii="Cambria Math" w:hAnsi="Cambria Math" w:cs="Times New Roman"/>
            <w:sz w:val="28"/>
            <w:szCs w:val="28"/>
          </w:rPr>
          <m:t>m</m:t>
        </m:r>
      </m:oMath>
      <w:r w:rsidR="008E37EF" w:rsidRPr="008E37EF">
        <w:rPr>
          <w:rFonts w:ascii="Times New Roman" w:hAnsi="Times New Roman" w:cs="Times New Roman"/>
          <w:sz w:val="28"/>
          <w:szCs w:val="28"/>
        </w:rPr>
        <w:t xml:space="preserve"> </w:t>
      </w:r>
    </w:p>
    <w:p w14:paraId="144ED539" w14:textId="601A0649" w:rsidR="003B4541" w:rsidRDefault="00D20BE2">
      <w:pPr>
        <w:rPr>
          <w:rFonts w:ascii="Times New Roman" w:hAnsi="Times New Roman" w:cs="Times New Roman"/>
          <w:sz w:val="28"/>
          <w:szCs w:val="28"/>
        </w:rPr>
      </w:pPr>
      <w:r>
        <w:rPr>
          <w:rFonts w:ascii="Times New Roman" w:hAnsi="Times New Roman" w:cs="Times New Roman"/>
          <w:sz w:val="28"/>
          <w:szCs w:val="28"/>
          <w:lang w:val="en-US"/>
        </w:rPr>
        <w:t>The core</w:t>
      </w:r>
      <w:r w:rsidR="008E37EF" w:rsidRPr="008E37EF">
        <w:rPr>
          <w:rFonts w:ascii="Times New Roman" w:hAnsi="Times New Roman" w:cs="Times New Roman"/>
          <w:sz w:val="28"/>
          <w:szCs w:val="28"/>
        </w:rPr>
        <w:t xml:space="preserve"> inlet temperature of </w:t>
      </w:r>
      <m:oMath>
        <m:r>
          <w:rPr>
            <w:rFonts w:ascii="Cambria Math" w:hAnsi="Cambria Math" w:cs="Times New Roman"/>
            <w:sz w:val="28"/>
            <w:szCs w:val="28"/>
          </w:rPr>
          <m:t>670 K</m:t>
        </m:r>
      </m:oMath>
      <w:r w:rsidR="008E37EF" w:rsidRPr="008E37EF">
        <w:rPr>
          <w:rFonts w:ascii="Times New Roman" w:hAnsi="Times New Roman" w:cs="Times New Roman"/>
          <w:sz w:val="28"/>
          <w:szCs w:val="28"/>
        </w:rPr>
        <w:t xml:space="preserve"> (</w:t>
      </w:r>
      <w:r w:rsidR="007558B1" w:rsidRPr="008E37EF">
        <w:rPr>
          <w:rFonts w:ascii="Times New Roman" w:hAnsi="Times New Roman" w:cs="Times New Roman"/>
          <w:sz w:val="28"/>
          <w:szCs w:val="28"/>
        </w:rPr>
        <w:t>stays</w:t>
      </w:r>
      <w:r w:rsidR="008E37EF" w:rsidRPr="008E37EF">
        <w:rPr>
          <w:rFonts w:ascii="Times New Roman" w:hAnsi="Times New Roman" w:cs="Times New Roman"/>
          <w:sz w:val="28"/>
          <w:szCs w:val="28"/>
        </w:rPr>
        <w:t xml:space="preserve"> constant during the transient) </w:t>
      </w:r>
    </w:p>
    <w:p w14:paraId="2FCED79C" w14:textId="694B998E" w:rsidR="00A901AF" w:rsidRDefault="008E37EF">
      <w:pPr>
        <w:rPr>
          <w:rFonts w:ascii="Times New Roman" w:hAnsi="Times New Roman" w:cs="Times New Roman"/>
          <w:sz w:val="28"/>
          <w:szCs w:val="28"/>
        </w:rPr>
      </w:pPr>
      <w:r w:rsidRPr="008E37EF">
        <w:rPr>
          <w:rFonts w:ascii="Times New Roman" w:hAnsi="Times New Roman" w:cs="Times New Roman"/>
          <w:sz w:val="28"/>
          <w:szCs w:val="28"/>
        </w:rPr>
        <w:t xml:space="preserve">Calculate the heat transfer coefficient at the </w:t>
      </w:r>
      <w:r w:rsidR="00D20BE2">
        <w:rPr>
          <w:rFonts w:ascii="Times New Roman" w:hAnsi="Times New Roman" w:cs="Times New Roman"/>
          <w:sz w:val="28"/>
          <w:szCs w:val="28"/>
          <w:lang w:val="en-US"/>
        </w:rPr>
        <w:t>beginning</w:t>
      </w:r>
      <w:r w:rsidRPr="008E37EF">
        <w:rPr>
          <w:rFonts w:ascii="Times New Roman" w:hAnsi="Times New Roman" w:cs="Times New Roman"/>
          <w:sz w:val="28"/>
          <w:szCs w:val="28"/>
        </w:rPr>
        <w:t xml:space="preserve"> and end of </w:t>
      </w:r>
      <w:r w:rsidR="00D20BE2">
        <w:rPr>
          <w:rFonts w:ascii="Times New Roman" w:hAnsi="Times New Roman" w:cs="Times New Roman"/>
          <w:sz w:val="28"/>
          <w:szCs w:val="28"/>
          <w:lang w:val="en-US"/>
        </w:rPr>
        <w:t xml:space="preserve">the </w:t>
      </w:r>
      <w:r w:rsidRPr="008E37EF">
        <w:rPr>
          <w:rFonts w:ascii="Times New Roman" w:hAnsi="Times New Roman" w:cs="Times New Roman"/>
          <w:sz w:val="28"/>
          <w:szCs w:val="28"/>
        </w:rPr>
        <w:t xml:space="preserve">fuel </w:t>
      </w:r>
      <w:proofErr w:type="gramStart"/>
      <w:r w:rsidRPr="008E37EF">
        <w:rPr>
          <w:rFonts w:ascii="Times New Roman" w:hAnsi="Times New Roman" w:cs="Times New Roman"/>
          <w:sz w:val="28"/>
          <w:szCs w:val="28"/>
        </w:rPr>
        <w:t>rod</w:t>
      </w:r>
      <w:proofErr w:type="gramEnd"/>
      <w:r w:rsidRPr="008E37EF">
        <w:rPr>
          <w:rFonts w:ascii="Times New Roman" w:hAnsi="Times New Roman" w:cs="Times New Roman"/>
          <w:sz w:val="28"/>
          <w:szCs w:val="28"/>
        </w:rPr>
        <w:t xml:space="preserve"> </w:t>
      </w:r>
    </w:p>
    <w:p w14:paraId="5483D389" w14:textId="77777777" w:rsidR="00931B09" w:rsidRDefault="008E37EF">
      <w:pPr>
        <w:rPr>
          <w:rFonts w:ascii="Times New Roman" w:hAnsi="Times New Roman" w:cs="Times New Roman"/>
          <w:sz w:val="28"/>
          <w:szCs w:val="28"/>
        </w:rPr>
      </w:pPr>
      <w:r w:rsidRPr="008E37EF">
        <w:rPr>
          <w:rFonts w:ascii="Times New Roman" w:hAnsi="Times New Roman" w:cs="Times New Roman"/>
          <w:sz w:val="28"/>
          <w:szCs w:val="28"/>
        </w:rPr>
        <w:t xml:space="preserve">Calculate the vertical elevation of the decay heat removal heat exchanger (HHX) required for the cladding of the hottest rod to survive an unprotected loss of flow accident (ULOF) with lead and sodium coolants, </w:t>
      </w:r>
      <w:proofErr w:type="gramStart"/>
      <w:r w:rsidRPr="008E37EF">
        <w:rPr>
          <w:rFonts w:ascii="Times New Roman" w:hAnsi="Times New Roman" w:cs="Times New Roman"/>
          <w:sz w:val="28"/>
          <w:szCs w:val="28"/>
        </w:rPr>
        <w:t>assuming</w:t>
      </w:r>
      <w:proofErr w:type="gramEnd"/>
    </w:p>
    <w:p w14:paraId="7580FC92" w14:textId="10E86E0F" w:rsidR="006633AE" w:rsidRPr="00550596" w:rsidRDefault="00E3559A">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vertAlign w:val="subscript"/>
              </w:rPr>
              <m:t>ch</m:t>
            </m:r>
          </m:sub>
        </m:sSub>
        <m:r>
          <w:rPr>
            <w:rFonts w:ascii="Cambria Math" w:hAnsi="Cambria Math" w:cs="Times New Roman"/>
            <w:sz w:val="28"/>
            <w:szCs w:val="28"/>
          </w:rPr>
          <m:t>=150cm</m:t>
        </m:r>
      </m:oMath>
      <w:r w:rsidR="006633AE" w:rsidRPr="008E37EF">
        <w:rPr>
          <w:rFonts w:ascii="Times New Roman" w:hAnsi="Times New Roman" w:cs="Times New Roman"/>
          <w:sz w:val="28"/>
          <w:szCs w:val="28"/>
        </w:rPr>
        <w:t>,</w:t>
      </w:r>
    </w:p>
    <w:p w14:paraId="04EC861E" w14:textId="00098B7B" w:rsidR="00931B09" w:rsidRPr="00931B09" w:rsidRDefault="00E3559A">
      <w:pPr>
        <w:rPr>
          <w:rFonts w:ascii="Times New Roman" w:hAnsi="Times New Roman" w:cs="Times New Roman"/>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Pb</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=4.55×</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m:t>
            </m:r>
            <m:r>
              <w:rPr>
                <w:rFonts w:ascii="Cambria Math" w:hAnsi="Cambria Math" w:cs="Times New Roman"/>
                <w:sz w:val="28"/>
                <w:szCs w:val="28"/>
                <w:lang w:val="en-US"/>
              </w:rPr>
              <m:t>4</m:t>
            </m:r>
          </m:sup>
        </m:sSup>
        <m:sSup>
          <m:sSupPr>
            <m:ctrlPr>
              <w:rPr>
                <w:rFonts w:ascii="Cambria Math" w:hAnsi="Cambria Math" w:cs="Times New Roman"/>
                <w:i/>
                <w:sz w:val="28"/>
                <w:szCs w:val="28"/>
                <w:lang w:val="en-US"/>
              </w:rPr>
            </m:ctrlPr>
          </m:sSupPr>
          <m:e>
            <m:r>
              <w:rPr>
                <w:rFonts w:ascii="Cambria Math" w:hAnsi="Cambria Math" w:cs="Times New Roman"/>
                <w:sz w:val="28"/>
                <w:szCs w:val="28"/>
                <w:lang w:val="en-US"/>
              </w:rPr>
              <m:t>e</m:t>
            </m:r>
          </m:e>
          <m:sup>
            <m:f>
              <m:fPr>
                <m:ctrlPr>
                  <w:rPr>
                    <w:rFonts w:ascii="Cambria Math" w:hAnsi="Cambria Math" w:cs="Times New Roman"/>
                    <w:sz w:val="28"/>
                    <w:szCs w:val="28"/>
                    <w:lang w:val="en-US"/>
                  </w:rPr>
                </m:ctrlPr>
              </m:fPr>
              <m:num>
                <m:r>
                  <w:rPr>
                    <w:rFonts w:ascii="Cambria Math" w:hAnsi="Cambria Math" w:cs="Times New Roman"/>
                    <w:sz w:val="28"/>
                    <w:szCs w:val="28"/>
                    <w:lang w:val="en-US"/>
                  </w:rPr>
                  <m:t>1069</m:t>
                </m:r>
                <m:ctrlPr>
                  <w:rPr>
                    <w:rFonts w:ascii="Cambria Math" w:hAnsi="Cambria Math" w:cs="Times New Roman"/>
                    <w:i/>
                    <w:sz w:val="28"/>
                    <w:szCs w:val="28"/>
                    <w:lang w:val="en-US"/>
                  </w:rPr>
                </m:ctrlPr>
              </m:num>
              <m:den>
                <m:r>
                  <w:rPr>
                    <w:rFonts w:ascii="Cambria Math" w:hAnsi="Cambria Math" w:cs="Times New Roman"/>
                    <w:sz w:val="28"/>
                    <w:szCs w:val="28"/>
                    <w:lang w:val="en-US"/>
                  </w:rPr>
                  <m:t>T</m:t>
                </m:r>
                <m:ctrlPr>
                  <w:rPr>
                    <w:rFonts w:ascii="Cambria Math" w:hAnsi="Cambria Math" w:cs="Times New Roman"/>
                    <w:i/>
                    <w:sz w:val="28"/>
                    <w:szCs w:val="28"/>
                    <w:lang w:val="en-US"/>
                  </w:rPr>
                </m:ctrlPr>
              </m:den>
            </m:f>
          </m:sup>
        </m:sSup>
      </m:oMath>
      <w:r w:rsidR="000C337C">
        <w:rPr>
          <w:rFonts w:ascii="Times New Roman" w:eastAsiaTheme="minorEastAsia" w:hAnsi="Times New Roman" w:cs="Times New Roman"/>
          <w:sz w:val="28"/>
          <w:szCs w:val="28"/>
          <w:lang w:val="en-US"/>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Na</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ctrlPr>
              <w:rPr>
                <w:rFonts w:ascii="Cambria Math" w:hAnsi="Cambria Math" w:cs="Times New Roman"/>
                <w:i/>
                <w:sz w:val="28"/>
                <w:szCs w:val="28"/>
                <w:lang w:val="en-US"/>
              </w:rPr>
            </m:ctrlPr>
          </m:e>
          <m: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6.4406-0.3958</m:t>
            </m:r>
            <m:r>
              <w:rPr>
                <w:rFonts w:ascii="Cambria Math" w:eastAsiaTheme="minorEastAsia" w:hAnsi="Cambria Math" w:cs="Times New Roman"/>
                <w:sz w:val="28"/>
                <w:szCs w:val="28"/>
                <w:lang w:val="en-US"/>
              </w:rPr>
              <m:t>ln</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556.835</m:t>
                </m:r>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T</m:t>
                </m:r>
                <m:ctrlPr>
                  <w:rPr>
                    <w:rFonts w:ascii="Cambria Math" w:eastAsiaTheme="minorEastAsia" w:hAnsi="Cambria Math" w:cs="Times New Roman"/>
                    <w:i/>
                    <w:sz w:val="28"/>
                    <w:szCs w:val="28"/>
                    <w:lang w:val="en-US"/>
                  </w:rPr>
                </m:ctrlPr>
              </m:den>
            </m:f>
          </m:sup>
        </m:sSup>
      </m:oMath>
      <w:r w:rsidR="000C337C">
        <w:rPr>
          <w:rFonts w:ascii="Times New Roman" w:hAnsi="Times New Roman" w:cs="Times New Roman"/>
          <w:sz w:val="28"/>
          <w:szCs w:val="28"/>
          <w:lang w:val="en-US"/>
        </w:rPr>
        <w:t xml:space="preserve"> </w:t>
      </w:r>
    </w:p>
    <w:p w14:paraId="3610DFA7" w14:textId="1A135434" w:rsidR="000F4079" w:rsidRDefault="008E37EF">
      <w:pPr>
        <w:rPr>
          <w:rFonts w:ascii="Times New Roman" w:hAnsi="Times New Roman" w:cs="Times New Roman"/>
          <w:sz w:val="28"/>
          <w:szCs w:val="28"/>
        </w:rPr>
      </w:pPr>
      <w:r w:rsidRPr="008E37EF">
        <w:rPr>
          <w:rFonts w:ascii="Times New Roman" w:hAnsi="Times New Roman" w:cs="Times New Roman"/>
          <w:sz w:val="28"/>
          <w:szCs w:val="28"/>
        </w:rPr>
        <w:t xml:space="preserve"> Decay heat average linear power density </w:t>
      </w:r>
      <m:oMath>
        <m:r>
          <w:rPr>
            <w:rFonts w:ascii="Cambria Math" w:hAnsi="Cambria Math" w:cs="Times New Roman"/>
            <w:sz w:val="28"/>
            <w:szCs w:val="28"/>
          </w:rPr>
          <m:t>= 1.5 kW/m</m:t>
        </m:r>
      </m:oMath>
    </w:p>
    <w:p w14:paraId="61779337" w14:textId="4224F8A6" w:rsidR="000F4079" w:rsidRPr="00550596" w:rsidRDefault="008E37EF">
      <w:pPr>
        <w:rPr>
          <w:rFonts w:ascii="Times New Roman" w:eastAsiaTheme="minorEastAsia" w:hAnsi="Times New Roman" w:cs="Times New Roman"/>
          <w:sz w:val="28"/>
          <w:szCs w:val="28"/>
        </w:rPr>
      </w:pPr>
      <w:r w:rsidRPr="008E37EF">
        <w:rPr>
          <w:rFonts w:ascii="Times New Roman" w:hAnsi="Times New Roman" w:cs="Times New Roman"/>
          <w:sz w:val="28"/>
          <w:szCs w:val="28"/>
        </w:rPr>
        <w:t xml:space="preserve"> </w:t>
      </w:r>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vertAlign w:val="subscript"/>
              </w:rPr>
              <m:t>coolant</m:t>
            </m:r>
          </m:sub>
        </m:sSub>
        <m:r>
          <w:rPr>
            <w:rFonts w:ascii="Cambria Math" w:hAnsi="Cambria Math" w:cs="Times New Roman"/>
            <w:sz w:val="28"/>
            <w:szCs w:val="28"/>
          </w:rPr>
          <m:t>=100K</m:t>
        </m:r>
      </m:oMath>
      <w:r w:rsidRPr="008E37EF">
        <w:rPr>
          <w:rFonts w:ascii="Times New Roman" w:hAnsi="Times New Roman" w:cs="Times New Roman"/>
          <w:sz w:val="28"/>
          <w:szCs w:val="28"/>
        </w:rPr>
        <w:t xml:space="preserve">, over core during natural convection conditions. </w:t>
      </w:r>
    </w:p>
    <w:p w14:paraId="5173E077" w14:textId="58E80A30" w:rsidR="009137C3" w:rsidRDefault="008E37EF">
      <w:pPr>
        <w:rPr>
          <w:rFonts w:ascii="Times New Roman" w:eastAsiaTheme="minorEastAsia" w:hAnsi="Times New Roman" w:cs="Times New Roman"/>
          <w:sz w:val="28"/>
          <w:szCs w:val="28"/>
          <w:lang w:val="en-US"/>
        </w:rPr>
      </w:pPr>
      <w:r w:rsidRPr="008E37EF">
        <w:rPr>
          <w:rFonts w:ascii="Times New Roman" w:hAnsi="Times New Roman" w:cs="Times New Roman"/>
          <w:sz w:val="28"/>
          <w:szCs w:val="28"/>
        </w:rPr>
        <w:t>Total pressure</w:t>
      </w:r>
      <w:r w:rsidR="009137C3">
        <w:rPr>
          <w:rFonts w:ascii="Times New Roman" w:hAnsi="Times New Roman" w:cs="Times New Roman"/>
          <w:sz w:val="28"/>
          <w:szCs w:val="28"/>
          <w:lang w:val="en-US"/>
        </w:rPr>
        <w:t>-</w:t>
      </w:r>
      <w:r w:rsidRPr="008E37EF">
        <w:rPr>
          <w:rFonts w:ascii="Times New Roman" w:hAnsi="Times New Roman" w:cs="Times New Roman"/>
          <w:sz w:val="28"/>
          <w:szCs w:val="28"/>
        </w:rPr>
        <w:t xml:space="preserve">drop in system </w:t>
      </w:r>
      <m:oMath>
        <m:r>
          <w:rPr>
            <w:rFonts w:ascii="Cambria Math" w:hAnsi="Cambria Math" w:cs="Times New Roman"/>
            <w:sz w:val="28"/>
            <w:szCs w:val="28"/>
          </w:rPr>
          <m:t>=2Δ</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vertAlign w:val="subscript"/>
              </w:rPr>
              <m:t>ch</m:t>
            </m:r>
          </m:sub>
        </m:sSub>
      </m:oMath>
    </w:p>
    <w:p w14:paraId="6C2610E9" w14:textId="77777777" w:rsidR="00A86108" w:rsidRDefault="00A86108">
      <w:pPr>
        <w:rPr>
          <w:rFonts w:ascii="Times New Roman" w:eastAsiaTheme="minorEastAsia" w:hAnsi="Times New Roman" w:cs="Times New Roman"/>
          <w:sz w:val="28"/>
          <w:szCs w:val="28"/>
          <w:lang w:val="en-US"/>
        </w:rPr>
      </w:pPr>
    </w:p>
    <w:p w14:paraId="08E1EC97" w14:textId="77777777" w:rsidR="00A86108" w:rsidRDefault="00A86108">
      <w:pPr>
        <w:rPr>
          <w:rFonts w:ascii="Times New Roman" w:eastAsiaTheme="minorEastAsia" w:hAnsi="Times New Roman" w:cs="Times New Roman"/>
          <w:sz w:val="28"/>
          <w:szCs w:val="28"/>
          <w:lang w:val="en-US"/>
        </w:rPr>
      </w:pPr>
    </w:p>
    <w:p w14:paraId="0DC90145" w14:textId="77777777" w:rsidR="00A86108" w:rsidRDefault="00A86108">
      <w:pPr>
        <w:rPr>
          <w:rFonts w:ascii="Times New Roman" w:eastAsiaTheme="minorEastAsia" w:hAnsi="Times New Roman" w:cs="Times New Roman"/>
          <w:sz w:val="28"/>
          <w:szCs w:val="28"/>
          <w:lang w:val="en-US"/>
        </w:rPr>
      </w:pPr>
    </w:p>
    <w:p w14:paraId="0C7EB188" w14:textId="77777777" w:rsidR="008D5753" w:rsidRDefault="008D5753">
      <w:pPr>
        <w:rPr>
          <w:rFonts w:ascii="Times New Roman" w:eastAsiaTheme="minorEastAsia" w:hAnsi="Times New Roman" w:cs="Times New Roman"/>
          <w:sz w:val="28"/>
          <w:szCs w:val="28"/>
          <w:lang w:val="en-US"/>
        </w:rPr>
      </w:pPr>
    </w:p>
    <w:p w14:paraId="4C5EDEE1" w14:textId="397C0890" w:rsidR="004F40AE" w:rsidRPr="008D5753" w:rsidRDefault="00724640">
      <w:pPr>
        <w:rPr>
          <w:rFonts w:ascii="Times New Roman" w:eastAsiaTheme="minorEastAsia" w:hAnsi="Times New Roman" w:cs="Times New Roman"/>
          <w:sz w:val="28"/>
          <w:szCs w:val="28"/>
          <w:lang w:val="en-US"/>
        </w:rPr>
      </w:pPr>
      <w:r w:rsidRPr="00724640">
        <w:rPr>
          <w:rFonts w:ascii="Times New Roman" w:eastAsiaTheme="minorEastAsia" w:hAnsi="Times New Roman" w:cs="Times New Roman"/>
          <w:sz w:val="28"/>
          <w:szCs w:val="28"/>
          <w:lang w:val="en-US"/>
        </w:rPr>
        <w:lastRenderedPageBreak/>
        <w:drawing>
          <wp:anchor distT="0" distB="0" distL="114300" distR="114300" simplePos="0" relativeHeight="251658240" behindDoc="1" locked="0" layoutInCell="1" allowOverlap="1" wp14:anchorId="6661503B" wp14:editId="6D3928CC">
            <wp:simplePos x="0" y="0"/>
            <wp:positionH relativeFrom="margin">
              <wp:align>center</wp:align>
            </wp:positionH>
            <wp:positionV relativeFrom="paragraph">
              <wp:posOffset>0</wp:posOffset>
            </wp:positionV>
            <wp:extent cx="10301605" cy="2441575"/>
            <wp:effectExtent l="0" t="0" r="4445" b="0"/>
            <wp:wrapTight wrapText="bothSides">
              <wp:wrapPolygon edited="0">
                <wp:start x="0" y="0"/>
                <wp:lineTo x="0" y="21403"/>
                <wp:lineTo x="21569" y="21403"/>
                <wp:lineTo x="21569"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0328785" cy="2448191"/>
                    </a:xfrm>
                    <a:prstGeom prst="rect">
                      <a:avLst/>
                    </a:prstGeom>
                  </pic:spPr>
                </pic:pic>
              </a:graphicData>
            </a:graphic>
            <wp14:sizeRelV relativeFrom="margin">
              <wp14:pctHeight>0</wp14:pctHeight>
            </wp14:sizeRelV>
          </wp:anchor>
        </w:drawing>
      </w:r>
    </w:p>
    <w:sectPr w:rsidR="004F40AE" w:rsidRPr="008D5753" w:rsidSect="009B3AB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DA"/>
    <w:rsid w:val="000C337C"/>
    <w:rsid w:val="000C3B84"/>
    <w:rsid w:val="000F4079"/>
    <w:rsid w:val="00131BBC"/>
    <w:rsid w:val="001C3C6B"/>
    <w:rsid w:val="001F65A1"/>
    <w:rsid w:val="003515BA"/>
    <w:rsid w:val="003B4541"/>
    <w:rsid w:val="003E07E6"/>
    <w:rsid w:val="00494F70"/>
    <w:rsid w:val="004E7EB8"/>
    <w:rsid w:val="004F09FE"/>
    <w:rsid w:val="004F40AE"/>
    <w:rsid w:val="00550596"/>
    <w:rsid w:val="006633AE"/>
    <w:rsid w:val="00697CFC"/>
    <w:rsid w:val="00717730"/>
    <w:rsid w:val="00724640"/>
    <w:rsid w:val="00732D8D"/>
    <w:rsid w:val="007558B1"/>
    <w:rsid w:val="008D5753"/>
    <w:rsid w:val="008D77F5"/>
    <w:rsid w:val="008E37EF"/>
    <w:rsid w:val="009137C3"/>
    <w:rsid w:val="00931B09"/>
    <w:rsid w:val="00975ED9"/>
    <w:rsid w:val="009B3AB1"/>
    <w:rsid w:val="00A37CBE"/>
    <w:rsid w:val="00A86108"/>
    <w:rsid w:val="00A901AF"/>
    <w:rsid w:val="00C12487"/>
    <w:rsid w:val="00C74C92"/>
    <w:rsid w:val="00D20BE2"/>
    <w:rsid w:val="00D60059"/>
    <w:rsid w:val="00D623DA"/>
    <w:rsid w:val="00E3559A"/>
    <w:rsid w:val="00F45B30"/>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ABA9"/>
  <w15:chartTrackingRefBased/>
  <w15:docId w15:val="{CA98C7F9-C74A-451B-9E7B-C8F2124A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37</cp:revision>
  <dcterms:created xsi:type="dcterms:W3CDTF">2023-02-20T12:09:00Z</dcterms:created>
  <dcterms:modified xsi:type="dcterms:W3CDTF">2023-03-19T03:53:00Z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d2047e3a188e0812a9ed69a956a245790c0bb459788d10f972fa58dbb581ba0d</vt:lpwstr>
  </property>
</Properties>
</file>