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1DFF" w:rsidRPr="002A1DFF" w:rsidRDefault="002A1DFF" w:rsidP="002A1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lang w:eastAsia="en-GB"/>
        </w:rPr>
      </w:pPr>
      <w:r w:rsidRPr="002A1DFF">
        <w:rPr>
          <w:rFonts w:ascii="Consolas" w:eastAsia="Times New Roman" w:hAnsi="Consolas" w:cs="Courier New"/>
          <w:color w:val="212529"/>
          <w:sz w:val="20"/>
          <w:szCs w:val="20"/>
          <w:lang w:eastAsia="en-GB"/>
        </w:rPr>
        <w:t>**Why Biology Became a Data Science Field: How Python, Statistics, and Machine Learning Are Transforming the Life Sciences**</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**Abstract**</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r>
      <w:proofErr w:type="gramStart"/>
      <w:r w:rsidRPr="002A1DFF">
        <w:rPr>
          <w:rFonts w:ascii="Consolas" w:eastAsia="Times New Roman" w:hAnsi="Consolas" w:cs="Courier New"/>
          <w:color w:val="212529"/>
          <w:sz w:val="20"/>
          <w:szCs w:val="20"/>
          <w:lang w:eastAsia="en-GB"/>
        </w:rPr>
        <w:t>T</w:t>
      </w:r>
      <w:bookmarkStart w:id="0" w:name="_GoBack"/>
      <w:bookmarkEnd w:id="0"/>
      <w:r w:rsidRPr="002A1DFF">
        <w:rPr>
          <w:rFonts w:ascii="Consolas" w:eastAsia="Times New Roman" w:hAnsi="Consolas" w:cs="Courier New"/>
          <w:color w:val="212529"/>
          <w:sz w:val="20"/>
          <w:szCs w:val="20"/>
          <w:lang w:eastAsia="en-GB"/>
        </w:rPr>
        <w:t>he</w:t>
      </w:r>
      <w:proofErr w:type="gramEnd"/>
      <w:r w:rsidRPr="002A1DFF">
        <w:rPr>
          <w:rFonts w:ascii="Consolas" w:eastAsia="Times New Roman" w:hAnsi="Consolas" w:cs="Courier New"/>
          <w:color w:val="212529"/>
          <w:sz w:val="20"/>
          <w:szCs w:val="20"/>
          <w:lang w:eastAsia="en-GB"/>
        </w:rPr>
        <w:t xml:space="preserve"> exponential growth of biological data has redefined modern biology as an information-driven discipline. The integration of computational tools, statistical reasoning, and machine learning algorithms has enabled researchers to derive meaningful insights from large-scale genomic, proteomic, and clinical datasets. This article discusses how Python, statistics, and machine learning have become fundamental to life science research, focusing on their roles in managing biological Big Data, improving reproducibility, and accelerating discovery in genomics, personalized medicine, and healthcare.</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**1\. Introduction**</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Biology has undergone a paradigm shift from being primarily experimental to becoming a data-intensive science. The increasing availability of high-throughput technologies-such as next-generation sequencing, microarrays, and advanced imaging-has led to unprecedented data volumes that traditional experimental methods cannot fully interpret. The human genome project alone generated over 3 billion base pairs of information, and modern sequencing platforms now produce terabytes of data daily.</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According to Luo et al. (2016), the integration of Big Data analytics into biomedical research and healthcare has fundamentally transformed how biological problems are addressed. This transformation has been driven by computational tools-most notably the Python programming language-alongside the rigorous application of statistics and the predictive power of machine learning.</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**2\. The Big Data Revolution in Biology**</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Modern biology faces the challenges of the "Four Vs" of Big Data: volume, velocity, variety, and veracity (Luo _et al.</w:t>
      </w:r>
      <w:proofErr w:type="gramStart"/>
      <w:r w:rsidRPr="002A1DFF">
        <w:rPr>
          <w:rFonts w:ascii="Consolas" w:eastAsia="Times New Roman" w:hAnsi="Consolas" w:cs="Courier New"/>
          <w:color w:val="212529"/>
          <w:sz w:val="20"/>
          <w:szCs w:val="20"/>
          <w:lang w:eastAsia="en-GB"/>
        </w:rPr>
        <w:t>,_</w:t>
      </w:r>
      <w:proofErr w:type="gramEnd"/>
      <w:r w:rsidRPr="002A1DFF">
        <w:rPr>
          <w:rFonts w:ascii="Consolas" w:eastAsia="Times New Roman" w:hAnsi="Consolas" w:cs="Courier New"/>
          <w:color w:val="212529"/>
          <w:sz w:val="20"/>
          <w:szCs w:val="20"/>
          <w:lang w:eastAsia="en-GB"/>
        </w:rPr>
        <w:t xml:space="preserve"> 2016).</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Volume arises from genomic, transcriptomic, and proteomic sequencing data that can exceed petabytes in size.</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Velocity refers to the rate at which new biological data are produced, particularly in real-time epidemiological surveillance and sequencing studies.</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Variety describes the diversity of biological data formats-ranging from structured omics tables to unstructured clinical notes and medical imaging.</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Veracity concerns the uncertainty and noise inherent in experimental data, requiring robust quality control and statistical validation.</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Traditional data processing methods cannot scale to these challenges. Instead, biology has embraced data science-built on Python, statistical reasoning, and machine learning-to handle data at this magnitude and complexity.</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**3\. Python as a Foundational Tool for Biological Data Science**</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 xml:space="preserve">Python has emerged as the principal language for biological data analysis due to its open-source ecosystem, accessibility, and versatility. </w:t>
      </w:r>
      <w:proofErr w:type="spellStart"/>
      <w:r w:rsidRPr="002A1DFF">
        <w:rPr>
          <w:rFonts w:ascii="Consolas" w:eastAsia="Times New Roman" w:hAnsi="Consolas" w:cs="Courier New"/>
          <w:color w:val="212529"/>
          <w:sz w:val="20"/>
          <w:szCs w:val="20"/>
          <w:lang w:eastAsia="en-GB"/>
        </w:rPr>
        <w:t>Kabir</w:t>
      </w:r>
      <w:proofErr w:type="spellEnd"/>
      <w:r w:rsidRPr="002A1DFF">
        <w:rPr>
          <w:rFonts w:ascii="Consolas" w:eastAsia="Times New Roman" w:hAnsi="Consolas" w:cs="Courier New"/>
          <w:color w:val="212529"/>
          <w:sz w:val="20"/>
          <w:szCs w:val="20"/>
          <w:lang w:eastAsia="en-GB"/>
        </w:rPr>
        <w:t xml:space="preserve"> _et al._ (2024) conducted a systematic review of Python's role in data analytics, highlighting its extensive use in data </w:t>
      </w:r>
      <w:proofErr w:type="spellStart"/>
      <w:r w:rsidRPr="002A1DFF">
        <w:rPr>
          <w:rFonts w:ascii="Consolas" w:eastAsia="Times New Roman" w:hAnsi="Consolas" w:cs="Courier New"/>
          <w:color w:val="212529"/>
          <w:sz w:val="20"/>
          <w:szCs w:val="20"/>
          <w:lang w:eastAsia="en-GB"/>
        </w:rPr>
        <w:t>preprocessing</w:t>
      </w:r>
      <w:proofErr w:type="spellEnd"/>
      <w:r w:rsidRPr="002A1DFF">
        <w:rPr>
          <w:rFonts w:ascii="Consolas" w:eastAsia="Times New Roman" w:hAnsi="Consolas" w:cs="Courier New"/>
          <w:color w:val="212529"/>
          <w:sz w:val="20"/>
          <w:szCs w:val="20"/>
          <w:lang w:eastAsia="en-GB"/>
        </w:rPr>
        <w:t xml:space="preserve">, visualization, and </w:t>
      </w:r>
      <w:proofErr w:type="spellStart"/>
      <w:r w:rsidRPr="002A1DFF">
        <w:rPr>
          <w:rFonts w:ascii="Consolas" w:eastAsia="Times New Roman" w:hAnsi="Consolas" w:cs="Courier New"/>
          <w:color w:val="212529"/>
          <w:sz w:val="20"/>
          <w:szCs w:val="20"/>
          <w:lang w:eastAsia="en-GB"/>
        </w:rPr>
        <w:t>modeling</w:t>
      </w:r>
      <w:proofErr w:type="spellEnd"/>
      <w:r w:rsidRPr="002A1DFF">
        <w:rPr>
          <w:rFonts w:ascii="Consolas" w:eastAsia="Times New Roman" w:hAnsi="Consolas" w:cs="Courier New"/>
          <w:color w:val="212529"/>
          <w:sz w:val="20"/>
          <w:szCs w:val="20"/>
          <w:lang w:eastAsia="en-GB"/>
        </w:rPr>
        <w:t xml:space="preserve"> across scientific disciplines.</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lastRenderedPageBreak/>
        <w:t xml:space="preserve">In bioinformatics, </w:t>
      </w:r>
      <w:proofErr w:type="spellStart"/>
      <w:r w:rsidRPr="002A1DFF">
        <w:rPr>
          <w:rFonts w:ascii="Consolas" w:eastAsia="Times New Roman" w:hAnsi="Consolas" w:cs="Courier New"/>
          <w:color w:val="212529"/>
          <w:sz w:val="20"/>
          <w:szCs w:val="20"/>
          <w:lang w:eastAsia="en-GB"/>
        </w:rPr>
        <w:t>NumPy</w:t>
      </w:r>
      <w:proofErr w:type="spellEnd"/>
      <w:r w:rsidRPr="002A1DFF">
        <w:rPr>
          <w:rFonts w:ascii="Consolas" w:eastAsia="Times New Roman" w:hAnsi="Consolas" w:cs="Courier New"/>
          <w:color w:val="212529"/>
          <w:sz w:val="20"/>
          <w:szCs w:val="20"/>
          <w:lang w:eastAsia="en-GB"/>
        </w:rPr>
        <w:t xml:space="preserve"> and Pandas are indispensable for handling genomic and transcriptomic matrices containing millions of entries. Pandas simplifies data wrangling-cleaning missing gene values or merging phenotypic and genotypic data-while </w:t>
      </w:r>
      <w:proofErr w:type="spellStart"/>
      <w:r w:rsidRPr="002A1DFF">
        <w:rPr>
          <w:rFonts w:ascii="Consolas" w:eastAsia="Times New Roman" w:hAnsi="Consolas" w:cs="Courier New"/>
          <w:color w:val="212529"/>
          <w:sz w:val="20"/>
          <w:szCs w:val="20"/>
          <w:lang w:eastAsia="en-GB"/>
        </w:rPr>
        <w:t>NumPy</w:t>
      </w:r>
      <w:proofErr w:type="spellEnd"/>
      <w:r w:rsidRPr="002A1DFF">
        <w:rPr>
          <w:rFonts w:ascii="Consolas" w:eastAsia="Times New Roman" w:hAnsi="Consolas" w:cs="Courier New"/>
          <w:color w:val="212529"/>
          <w:sz w:val="20"/>
          <w:szCs w:val="20"/>
          <w:lang w:eastAsia="en-GB"/>
        </w:rPr>
        <w:t xml:space="preserve"> accelerates statistical computation through optimized array operations.</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 xml:space="preserve">Visualization libraries such as </w:t>
      </w:r>
      <w:proofErr w:type="spellStart"/>
      <w:r w:rsidRPr="002A1DFF">
        <w:rPr>
          <w:rFonts w:ascii="Consolas" w:eastAsia="Times New Roman" w:hAnsi="Consolas" w:cs="Courier New"/>
          <w:color w:val="212529"/>
          <w:sz w:val="20"/>
          <w:szCs w:val="20"/>
          <w:lang w:eastAsia="en-GB"/>
        </w:rPr>
        <w:t>Matplotlib</w:t>
      </w:r>
      <w:proofErr w:type="spellEnd"/>
      <w:r w:rsidRPr="002A1DFF">
        <w:rPr>
          <w:rFonts w:ascii="Consolas" w:eastAsia="Times New Roman" w:hAnsi="Consolas" w:cs="Courier New"/>
          <w:color w:val="212529"/>
          <w:sz w:val="20"/>
          <w:szCs w:val="20"/>
          <w:lang w:eastAsia="en-GB"/>
        </w:rPr>
        <w:t xml:space="preserve">, </w:t>
      </w:r>
      <w:proofErr w:type="spellStart"/>
      <w:r w:rsidRPr="002A1DFF">
        <w:rPr>
          <w:rFonts w:ascii="Consolas" w:eastAsia="Times New Roman" w:hAnsi="Consolas" w:cs="Courier New"/>
          <w:color w:val="212529"/>
          <w:sz w:val="20"/>
          <w:szCs w:val="20"/>
          <w:lang w:eastAsia="en-GB"/>
        </w:rPr>
        <w:t>Seaborn</w:t>
      </w:r>
      <w:proofErr w:type="spellEnd"/>
      <w:r w:rsidRPr="002A1DFF">
        <w:rPr>
          <w:rFonts w:ascii="Consolas" w:eastAsia="Times New Roman" w:hAnsi="Consolas" w:cs="Courier New"/>
          <w:color w:val="212529"/>
          <w:sz w:val="20"/>
          <w:szCs w:val="20"/>
          <w:lang w:eastAsia="en-GB"/>
        </w:rPr>
        <w:t xml:space="preserve">, and </w:t>
      </w:r>
      <w:proofErr w:type="spellStart"/>
      <w:r w:rsidRPr="002A1DFF">
        <w:rPr>
          <w:rFonts w:ascii="Consolas" w:eastAsia="Times New Roman" w:hAnsi="Consolas" w:cs="Courier New"/>
          <w:color w:val="212529"/>
          <w:sz w:val="20"/>
          <w:szCs w:val="20"/>
          <w:lang w:eastAsia="en-GB"/>
        </w:rPr>
        <w:t>Plotly</w:t>
      </w:r>
      <w:proofErr w:type="spellEnd"/>
      <w:r w:rsidRPr="002A1DFF">
        <w:rPr>
          <w:rFonts w:ascii="Consolas" w:eastAsia="Times New Roman" w:hAnsi="Consolas" w:cs="Courier New"/>
          <w:color w:val="212529"/>
          <w:sz w:val="20"/>
          <w:szCs w:val="20"/>
          <w:lang w:eastAsia="en-GB"/>
        </w:rPr>
        <w:t xml:space="preserve"> provide reproducible visual insights into gene expression patterns or variant distributions, facilitating interpretability in multi-</w:t>
      </w:r>
      <w:proofErr w:type="spellStart"/>
      <w:r w:rsidRPr="002A1DFF">
        <w:rPr>
          <w:rFonts w:ascii="Consolas" w:eastAsia="Times New Roman" w:hAnsi="Consolas" w:cs="Courier New"/>
          <w:color w:val="212529"/>
          <w:sz w:val="20"/>
          <w:szCs w:val="20"/>
          <w:lang w:eastAsia="en-GB"/>
        </w:rPr>
        <w:t>omic</w:t>
      </w:r>
      <w:proofErr w:type="spellEnd"/>
      <w:r w:rsidRPr="002A1DFF">
        <w:rPr>
          <w:rFonts w:ascii="Consolas" w:eastAsia="Times New Roman" w:hAnsi="Consolas" w:cs="Courier New"/>
          <w:color w:val="212529"/>
          <w:sz w:val="20"/>
          <w:szCs w:val="20"/>
          <w:lang w:eastAsia="en-GB"/>
        </w:rPr>
        <w:t xml:space="preserve"> studies. Furthermore, Boto3 enables integration with cloud platforms like Amazon Web Services (AWS), which supports large-scale genomic data storage and distributed analysis-critical for international collaborations in precision medicine.</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Python's modularity also supports reproducibility and transparency, which are key pillars of open science. Pipelines written in Python can be version-controlled and shared, ensuring consistent results across laboratories and projects.</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**4\. The Role of Statistics in Biological Data Interpretation**</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 xml:space="preserve">While Python structures the workflow, statistics provides the logical foundation for biological inference. As </w:t>
      </w:r>
      <w:proofErr w:type="spellStart"/>
      <w:r w:rsidRPr="002A1DFF">
        <w:rPr>
          <w:rFonts w:ascii="Consolas" w:eastAsia="Times New Roman" w:hAnsi="Consolas" w:cs="Courier New"/>
          <w:color w:val="212529"/>
          <w:sz w:val="20"/>
          <w:szCs w:val="20"/>
          <w:lang w:eastAsia="en-GB"/>
        </w:rPr>
        <w:t>Gandomi</w:t>
      </w:r>
      <w:proofErr w:type="spellEnd"/>
      <w:r w:rsidRPr="002A1DFF">
        <w:rPr>
          <w:rFonts w:ascii="Consolas" w:eastAsia="Times New Roman" w:hAnsi="Consolas" w:cs="Courier New"/>
          <w:color w:val="212529"/>
          <w:sz w:val="20"/>
          <w:szCs w:val="20"/>
          <w:lang w:eastAsia="en-GB"/>
        </w:rPr>
        <w:t xml:space="preserve"> _et al._ (2022) emphasize, Big Data analytics must rely on statistical rigor to separate meaningful biological patterns from random fluctuations.</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 xml:space="preserve">In genomics, multiple hypothesis testing is a common challenge when assessing thousands of genes simultaneously. Statistical corrections such as Bonferroni or False Discovery Rate (FDR) adjustments are essential to minimize false positives. Bayesian frameworks, as discussed by </w:t>
      </w:r>
      <w:proofErr w:type="spellStart"/>
      <w:r w:rsidRPr="002A1DFF">
        <w:rPr>
          <w:rFonts w:ascii="Consolas" w:eastAsia="Times New Roman" w:hAnsi="Consolas" w:cs="Courier New"/>
          <w:color w:val="212529"/>
          <w:sz w:val="20"/>
          <w:szCs w:val="20"/>
          <w:lang w:eastAsia="en-GB"/>
        </w:rPr>
        <w:t>Sambasivan</w:t>
      </w:r>
      <w:proofErr w:type="spellEnd"/>
      <w:r w:rsidRPr="002A1DFF">
        <w:rPr>
          <w:rFonts w:ascii="Consolas" w:eastAsia="Times New Roman" w:hAnsi="Consolas" w:cs="Courier New"/>
          <w:color w:val="212529"/>
          <w:sz w:val="20"/>
          <w:szCs w:val="20"/>
          <w:lang w:eastAsia="en-GB"/>
        </w:rPr>
        <w:t xml:space="preserve"> et al. (2018), have become particularly powerful in </w:t>
      </w:r>
      <w:proofErr w:type="spellStart"/>
      <w:r w:rsidRPr="002A1DFF">
        <w:rPr>
          <w:rFonts w:ascii="Consolas" w:eastAsia="Times New Roman" w:hAnsi="Consolas" w:cs="Courier New"/>
          <w:color w:val="212529"/>
          <w:sz w:val="20"/>
          <w:szCs w:val="20"/>
          <w:lang w:eastAsia="en-GB"/>
        </w:rPr>
        <w:t>modeling</w:t>
      </w:r>
      <w:proofErr w:type="spellEnd"/>
      <w:r w:rsidRPr="002A1DFF">
        <w:rPr>
          <w:rFonts w:ascii="Consolas" w:eastAsia="Times New Roman" w:hAnsi="Consolas" w:cs="Courier New"/>
          <w:color w:val="212529"/>
          <w:sz w:val="20"/>
          <w:szCs w:val="20"/>
          <w:lang w:eastAsia="en-GB"/>
        </w:rPr>
        <w:t xml:space="preserve"> biological uncertainty-allowing researchers to incorporate prior knowledge and quantify confidence in predictions.</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 xml:space="preserve">Statistical </w:t>
      </w:r>
      <w:proofErr w:type="spellStart"/>
      <w:r w:rsidRPr="002A1DFF">
        <w:rPr>
          <w:rFonts w:ascii="Consolas" w:eastAsia="Times New Roman" w:hAnsi="Consolas" w:cs="Courier New"/>
          <w:color w:val="212529"/>
          <w:sz w:val="20"/>
          <w:szCs w:val="20"/>
          <w:lang w:eastAsia="en-GB"/>
        </w:rPr>
        <w:t>modeling</w:t>
      </w:r>
      <w:proofErr w:type="spellEnd"/>
      <w:r w:rsidRPr="002A1DFF">
        <w:rPr>
          <w:rFonts w:ascii="Consolas" w:eastAsia="Times New Roman" w:hAnsi="Consolas" w:cs="Courier New"/>
          <w:color w:val="212529"/>
          <w:sz w:val="20"/>
          <w:szCs w:val="20"/>
          <w:lang w:eastAsia="en-GB"/>
        </w:rPr>
        <w:t xml:space="preserve"> also underpins clinical trial analysis, population genetics, and epidemiological forecasting. Without these principles, even the most sophisticated machine learning model risks misinterpreting biological noise as functional signal.</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5\. Machine Learning: Pattern Recognition in Complex Biological Systems</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 xml:space="preserve">Machine learning extends statistical reasoning into the realm of automated pattern recognition. Algorithms can uncover latent structures and make predictions across multi-dimensional biological datasets. As </w:t>
      </w:r>
      <w:proofErr w:type="spellStart"/>
      <w:r w:rsidRPr="002A1DFF">
        <w:rPr>
          <w:rFonts w:ascii="Consolas" w:eastAsia="Times New Roman" w:hAnsi="Consolas" w:cs="Courier New"/>
          <w:color w:val="212529"/>
          <w:sz w:val="20"/>
          <w:szCs w:val="20"/>
          <w:lang w:eastAsia="en-GB"/>
        </w:rPr>
        <w:t>Gandomi</w:t>
      </w:r>
      <w:proofErr w:type="spellEnd"/>
      <w:r w:rsidRPr="002A1DFF">
        <w:rPr>
          <w:rFonts w:ascii="Consolas" w:eastAsia="Times New Roman" w:hAnsi="Consolas" w:cs="Courier New"/>
          <w:color w:val="212529"/>
          <w:sz w:val="20"/>
          <w:szCs w:val="20"/>
          <w:lang w:eastAsia="en-GB"/>
        </w:rPr>
        <w:t xml:space="preserve"> _et al._ (2022) describe, supervised and unsupervised learning models are increasingly used to identify biomarkers, classify diseases, and model molecular interactions.</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 xml:space="preserve">In genomics, machine learning models predict the pathogenicity of mutations and assist in annotating non-coding regions of the genome. </w:t>
      </w:r>
      <w:proofErr w:type="spellStart"/>
      <w:r w:rsidRPr="002A1DFF">
        <w:rPr>
          <w:rFonts w:ascii="Consolas" w:eastAsia="Times New Roman" w:hAnsi="Consolas" w:cs="Courier New"/>
          <w:color w:val="212529"/>
          <w:sz w:val="20"/>
          <w:szCs w:val="20"/>
          <w:lang w:eastAsia="en-GB"/>
        </w:rPr>
        <w:t>Scikit</w:t>
      </w:r>
      <w:proofErr w:type="spellEnd"/>
      <w:r w:rsidRPr="002A1DFF">
        <w:rPr>
          <w:rFonts w:ascii="Consolas" w:eastAsia="Times New Roman" w:hAnsi="Consolas" w:cs="Courier New"/>
          <w:color w:val="212529"/>
          <w:sz w:val="20"/>
          <w:szCs w:val="20"/>
          <w:lang w:eastAsia="en-GB"/>
        </w:rPr>
        <w:t xml:space="preserve">-learn, a Python library, provides robust tools for classification, clustering, and dimensionality reduction-techniques central to </w:t>
      </w:r>
      <w:proofErr w:type="spellStart"/>
      <w:r w:rsidRPr="002A1DFF">
        <w:rPr>
          <w:rFonts w:ascii="Consolas" w:eastAsia="Times New Roman" w:hAnsi="Consolas" w:cs="Courier New"/>
          <w:color w:val="212529"/>
          <w:sz w:val="20"/>
          <w:szCs w:val="20"/>
          <w:lang w:eastAsia="en-GB"/>
        </w:rPr>
        <w:t>analyzing</w:t>
      </w:r>
      <w:proofErr w:type="spellEnd"/>
      <w:r w:rsidRPr="002A1DFF">
        <w:rPr>
          <w:rFonts w:ascii="Consolas" w:eastAsia="Times New Roman" w:hAnsi="Consolas" w:cs="Courier New"/>
          <w:color w:val="212529"/>
          <w:sz w:val="20"/>
          <w:szCs w:val="20"/>
          <w:lang w:eastAsia="en-GB"/>
        </w:rPr>
        <w:t xml:space="preserve"> single-cell RNA sequencing data.</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 xml:space="preserve">In proteomics, deep neural networks trained with frameworks such as </w:t>
      </w:r>
      <w:proofErr w:type="spellStart"/>
      <w:r w:rsidRPr="002A1DFF">
        <w:rPr>
          <w:rFonts w:ascii="Consolas" w:eastAsia="Times New Roman" w:hAnsi="Consolas" w:cs="Courier New"/>
          <w:color w:val="212529"/>
          <w:sz w:val="20"/>
          <w:szCs w:val="20"/>
          <w:lang w:eastAsia="en-GB"/>
        </w:rPr>
        <w:t>TensorFlow</w:t>
      </w:r>
      <w:proofErr w:type="spellEnd"/>
      <w:r w:rsidRPr="002A1DFF">
        <w:rPr>
          <w:rFonts w:ascii="Consolas" w:eastAsia="Times New Roman" w:hAnsi="Consolas" w:cs="Courier New"/>
          <w:color w:val="212529"/>
          <w:sz w:val="20"/>
          <w:szCs w:val="20"/>
          <w:lang w:eastAsia="en-GB"/>
        </w:rPr>
        <w:t xml:space="preserve"> and </w:t>
      </w:r>
      <w:proofErr w:type="spellStart"/>
      <w:r w:rsidRPr="002A1DFF">
        <w:rPr>
          <w:rFonts w:ascii="Consolas" w:eastAsia="Times New Roman" w:hAnsi="Consolas" w:cs="Courier New"/>
          <w:color w:val="212529"/>
          <w:sz w:val="20"/>
          <w:szCs w:val="20"/>
          <w:lang w:eastAsia="en-GB"/>
        </w:rPr>
        <w:t>PyTorch</w:t>
      </w:r>
      <w:proofErr w:type="spellEnd"/>
      <w:r w:rsidRPr="002A1DFF">
        <w:rPr>
          <w:rFonts w:ascii="Consolas" w:eastAsia="Times New Roman" w:hAnsi="Consolas" w:cs="Courier New"/>
          <w:color w:val="212529"/>
          <w:sz w:val="20"/>
          <w:szCs w:val="20"/>
          <w:lang w:eastAsia="en-GB"/>
        </w:rPr>
        <w:t xml:space="preserve"> predict protein folding and ligand binding with remarkable accuracy. The success of </w:t>
      </w:r>
      <w:proofErr w:type="spellStart"/>
      <w:proofErr w:type="gramStart"/>
      <w:r w:rsidRPr="002A1DFF">
        <w:rPr>
          <w:rFonts w:ascii="Consolas" w:eastAsia="Times New Roman" w:hAnsi="Consolas" w:cs="Courier New"/>
          <w:color w:val="212529"/>
          <w:sz w:val="20"/>
          <w:szCs w:val="20"/>
          <w:lang w:eastAsia="en-GB"/>
        </w:rPr>
        <w:t>AlphaFold</w:t>
      </w:r>
      <w:proofErr w:type="spellEnd"/>
      <w:proofErr w:type="gramEnd"/>
      <w:r w:rsidRPr="002A1DFF">
        <w:rPr>
          <w:rFonts w:ascii="Consolas" w:eastAsia="Times New Roman" w:hAnsi="Consolas" w:cs="Courier New"/>
          <w:color w:val="212529"/>
          <w:sz w:val="20"/>
          <w:szCs w:val="20"/>
          <w:lang w:eastAsia="en-GB"/>
        </w:rPr>
        <w:t>, built upon such architectures, exemplifies how machine learning bridges data-driven inference with molecular biology.</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In healthcare, predictive models integrate genomic data with clinical and imaging records to enable personalized medicine-anticipating disease risk, optimizing drug response, and identifying therapeutic targets before symptoms appear.</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6\. Integrating Disciplines: Towards a Unified Data-Driven Biology</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lastRenderedPageBreak/>
        <w:br/>
        <w:t xml:space="preserve">Biology's transformation into a data science field represents a broader convergence of disciplines. As </w:t>
      </w:r>
      <w:proofErr w:type="spellStart"/>
      <w:r w:rsidRPr="002A1DFF">
        <w:rPr>
          <w:rFonts w:ascii="Consolas" w:eastAsia="Times New Roman" w:hAnsi="Consolas" w:cs="Courier New"/>
          <w:color w:val="212529"/>
          <w:sz w:val="20"/>
          <w:szCs w:val="20"/>
          <w:lang w:eastAsia="en-GB"/>
        </w:rPr>
        <w:t>Kabir</w:t>
      </w:r>
      <w:proofErr w:type="spellEnd"/>
      <w:r w:rsidRPr="002A1DFF">
        <w:rPr>
          <w:rFonts w:ascii="Consolas" w:eastAsia="Times New Roman" w:hAnsi="Consolas" w:cs="Courier New"/>
          <w:color w:val="212529"/>
          <w:sz w:val="20"/>
          <w:szCs w:val="20"/>
          <w:lang w:eastAsia="en-GB"/>
        </w:rPr>
        <w:t xml:space="preserve"> _et al._ (2024) note, Python-based analytics frameworks have reduced barriers between data scientists and experimental biologists. Cross-disciplinary collaborations now define progress in life sciences, linking </w:t>
      </w:r>
      <w:proofErr w:type="spellStart"/>
      <w:r w:rsidRPr="002A1DFF">
        <w:rPr>
          <w:rFonts w:ascii="Consolas" w:eastAsia="Times New Roman" w:hAnsi="Consolas" w:cs="Courier New"/>
          <w:color w:val="212529"/>
          <w:sz w:val="20"/>
          <w:szCs w:val="20"/>
          <w:lang w:eastAsia="en-GB"/>
        </w:rPr>
        <w:t>benchwork</w:t>
      </w:r>
      <w:proofErr w:type="spellEnd"/>
      <w:r w:rsidRPr="002A1DFF">
        <w:rPr>
          <w:rFonts w:ascii="Consolas" w:eastAsia="Times New Roman" w:hAnsi="Consolas" w:cs="Courier New"/>
          <w:color w:val="212529"/>
          <w:sz w:val="20"/>
          <w:szCs w:val="20"/>
          <w:lang w:eastAsia="en-GB"/>
        </w:rPr>
        <w:t xml:space="preserve"> with computation through shared data infrastructures and reproducible code.</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Machine learning-driven discoveries depend on statistical integrity, and statistical validation, in turn, depends on computational efficiency. Together, these tools form a cycle of analysis that refines hypotheses, informs experiments, and accelerates biological discovery.</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 xml:space="preserve">The impact is evident in precision medicine, systems biology, and epidemiological </w:t>
      </w:r>
      <w:proofErr w:type="spellStart"/>
      <w:r w:rsidRPr="002A1DFF">
        <w:rPr>
          <w:rFonts w:ascii="Consolas" w:eastAsia="Times New Roman" w:hAnsi="Consolas" w:cs="Courier New"/>
          <w:color w:val="212529"/>
          <w:sz w:val="20"/>
          <w:szCs w:val="20"/>
          <w:lang w:eastAsia="en-GB"/>
        </w:rPr>
        <w:t>modeling</w:t>
      </w:r>
      <w:proofErr w:type="spellEnd"/>
      <w:r w:rsidRPr="002A1DFF">
        <w:rPr>
          <w:rFonts w:ascii="Consolas" w:eastAsia="Times New Roman" w:hAnsi="Consolas" w:cs="Courier New"/>
          <w:color w:val="212529"/>
          <w:sz w:val="20"/>
          <w:szCs w:val="20"/>
          <w:lang w:eastAsia="en-GB"/>
        </w:rPr>
        <w:t>, where integrative analysis pipelines now guide decisions in real time-from genome annotation to public health intervention.</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**7\. Ethical and Practical Considerations**</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r>
      <w:proofErr w:type="gramStart"/>
      <w:r w:rsidRPr="002A1DFF">
        <w:rPr>
          <w:rFonts w:ascii="Consolas" w:eastAsia="Times New Roman" w:hAnsi="Consolas" w:cs="Courier New"/>
          <w:color w:val="212529"/>
          <w:sz w:val="20"/>
          <w:szCs w:val="20"/>
          <w:lang w:eastAsia="en-GB"/>
        </w:rPr>
        <w:t>As</w:t>
      </w:r>
      <w:proofErr w:type="gramEnd"/>
      <w:r w:rsidRPr="002A1DFF">
        <w:rPr>
          <w:rFonts w:ascii="Consolas" w:eastAsia="Times New Roman" w:hAnsi="Consolas" w:cs="Courier New"/>
          <w:color w:val="212529"/>
          <w:sz w:val="20"/>
          <w:szCs w:val="20"/>
          <w:lang w:eastAsia="en-GB"/>
        </w:rPr>
        <w:t xml:space="preserve"> biological research becomes data-centric, new ethical and logistical questions arise. Data privacy, algorithmic bias, and reproducibility remain persistent concerns. Luo _et al._ (2016) highlight the need for standardized data governance frameworks to ensure that sensitive patient information is protected while promoting open scientific collaboration.</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Biases embedded in training datasets can lead to inequitable predictions-particularly when most genomic data originate from limited populations. Addressing these biases requires both technical and ethical reforms, ensuring that the benefits of biological data science are globally representative.</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**8\. Conclusion**</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Biology has evolved beyond observation-it now computes. The union of Python, statistical reasoning, and machine learning has enabled scientists to interpret the immense complexity of life at molecular, cellular, and systemic levels. As data continue to expand in scale and scope, the next generation of biologists must be fluent not only in experimental design but also in code, probability, and algorithms.</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This synthesis of disciplines does not replace the traditional foundations of biology; it strengthens them. In this new era, understanding life means understanding data-and the tools we use to read it.</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**References**</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r>
      <w:proofErr w:type="spellStart"/>
      <w:r w:rsidRPr="002A1DFF">
        <w:rPr>
          <w:rFonts w:ascii="Consolas" w:eastAsia="Times New Roman" w:hAnsi="Consolas" w:cs="Courier New"/>
          <w:color w:val="212529"/>
          <w:sz w:val="20"/>
          <w:szCs w:val="20"/>
          <w:lang w:eastAsia="en-GB"/>
        </w:rPr>
        <w:t>Kabir</w:t>
      </w:r>
      <w:proofErr w:type="spellEnd"/>
      <w:r w:rsidRPr="002A1DFF">
        <w:rPr>
          <w:rFonts w:ascii="Consolas" w:eastAsia="Times New Roman" w:hAnsi="Consolas" w:cs="Courier New"/>
          <w:color w:val="212529"/>
          <w:sz w:val="20"/>
          <w:szCs w:val="20"/>
          <w:lang w:eastAsia="en-GB"/>
        </w:rPr>
        <w:t>, M. A., et al. (2024). Python for Data Analytics: A Systematic Literature Review of Tools, Techniques, and Applications. Academic Journal on Science, Technology, Engineering &amp; Mathematics Education, 4, 134-154.</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r>
      <w:proofErr w:type="spellStart"/>
      <w:r w:rsidRPr="002A1DFF">
        <w:rPr>
          <w:rFonts w:ascii="Consolas" w:eastAsia="Times New Roman" w:hAnsi="Consolas" w:cs="Courier New"/>
          <w:color w:val="212529"/>
          <w:sz w:val="20"/>
          <w:szCs w:val="20"/>
          <w:lang w:eastAsia="en-GB"/>
        </w:rPr>
        <w:t>Gandomi</w:t>
      </w:r>
      <w:proofErr w:type="spellEnd"/>
      <w:r w:rsidRPr="002A1DFF">
        <w:rPr>
          <w:rFonts w:ascii="Consolas" w:eastAsia="Times New Roman" w:hAnsi="Consolas" w:cs="Courier New"/>
          <w:color w:val="212529"/>
          <w:sz w:val="20"/>
          <w:szCs w:val="20"/>
          <w:lang w:eastAsia="en-GB"/>
        </w:rPr>
        <w:t>, A., et al. (2022). Machine Learning Technologies for Big Data Analytics. Electronics, 11(3), 421.</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r>
      <w:proofErr w:type="spellStart"/>
      <w:r w:rsidRPr="002A1DFF">
        <w:rPr>
          <w:rFonts w:ascii="Consolas" w:eastAsia="Times New Roman" w:hAnsi="Consolas" w:cs="Courier New"/>
          <w:color w:val="212529"/>
          <w:sz w:val="20"/>
          <w:szCs w:val="20"/>
          <w:lang w:eastAsia="en-GB"/>
        </w:rPr>
        <w:t>Sambasivan</w:t>
      </w:r>
      <w:proofErr w:type="spellEnd"/>
      <w:r w:rsidRPr="002A1DFF">
        <w:rPr>
          <w:rFonts w:ascii="Consolas" w:eastAsia="Times New Roman" w:hAnsi="Consolas" w:cs="Courier New"/>
          <w:color w:val="212529"/>
          <w:sz w:val="20"/>
          <w:szCs w:val="20"/>
          <w:lang w:eastAsia="en-GB"/>
        </w:rPr>
        <w:t xml:space="preserve">, R., et al. (2018). A Bayesian Perspective of Statistical Machine Learning for Big Data. </w:t>
      </w:r>
      <w:proofErr w:type="spellStart"/>
      <w:proofErr w:type="gramStart"/>
      <w:r w:rsidRPr="002A1DFF">
        <w:rPr>
          <w:rFonts w:ascii="Consolas" w:eastAsia="Times New Roman" w:hAnsi="Consolas" w:cs="Courier New"/>
          <w:color w:val="212529"/>
          <w:sz w:val="20"/>
          <w:szCs w:val="20"/>
          <w:lang w:eastAsia="en-GB"/>
        </w:rPr>
        <w:t>arXiv</w:t>
      </w:r>
      <w:proofErr w:type="spellEnd"/>
      <w:proofErr w:type="gramEnd"/>
      <w:r w:rsidRPr="002A1DFF">
        <w:rPr>
          <w:rFonts w:ascii="Consolas" w:eastAsia="Times New Roman" w:hAnsi="Consolas" w:cs="Courier New"/>
          <w:color w:val="212529"/>
          <w:sz w:val="20"/>
          <w:szCs w:val="20"/>
          <w:lang w:eastAsia="en-GB"/>
        </w:rPr>
        <w:t>, 1811.04788.</w:t>
      </w:r>
      <w:r w:rsidRPr="002A1DFF">
        <w:rPr>
          <w:rFonts w:ascii="Consolas" w:eastAsia="Times New Roman" w:hAnsi="Consolas" w:cs="Courier New"/>
          <w:color w:val="212529"/>
          <w:sz w:val="20"/>
          <w:szCs w:val="20"/>
          <w:lang w:eastAsia="en-GB"/>
        </w:rPr>
        <w:br/>
      </w:r>
      <w:r w:rsidRPr="002A1DFF">
        <w:rPr>
          <w:rFonts w:ascii="Consolas" w:eastAsia="Times New Roman" w:hAnsi="Consolas" w:cs="Courier New"/>
          <w:color w:val="212529"/>
          <w:sz w:val="20"/>
          <w:szCs w:val="20"/>
          <w:lang w:eastAsia="en-GB"/>
        </w:rPr>
        <w:br/>
        <w:t>Luo, J., et al. (2016). Big Data Application in Biomedical Research and Health Care: A Literature Review. Biomedical Informatics Insights, 8, 1-10.</w:t>
      </w:r>
    </w:p>
    <w:p w:rsidR="005753F8" w:rsidRDefault="005753F8"/>
    <w:sectPr w:rsidR="005753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DFF"/>
    <w:rsid w:val="002A1DFF"/>
    <w:rsid w:val="005753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539DEA-EA85-4721-98B5-76559981B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2A1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2A1DFF"/>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2A1D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250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1382</Words>
  <Characters>7883</Characters>
  <Application>Microsoft Office Word</Application>
  <DocSecurity>0</DocSecurity>
  <Lines>65</Lines>
  <Paragraphs>18</Paragraphs>
  <ScaleCrop>false</ScaleCrop>
  <Company/>
  <LinksUpToDate>false</LinksUpToDate>
  <CharactersWithSpaces>9247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FAMADEWA</dc:creator>
  <cp:keywords/>
  <dc:description/>
  <cp:lastModifiedBy>FAMADEWA</cp:lastModifiedBy>
  <cp:revision>1</cp:revision>
  <dcterms:created xsi:type="dcterms:W3CDTF">2025-11-01T13:26:00Z</dcterms:created>
  <dcterms:modified xsi:type="dcterms:W3CDTF">2025-11-01T13:32:00Z</dcterms:modified>
</cp:coreProperties>
</file>