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Handoff técnico y funcional</w:t>
        <w:br/>
        <w:t>FAMEDIC–LeoV</w:t>
      </w:r>
    </w:p>
    <w:p>
      <w:pPr>
        <w:jc w:val="center"/>
      </w:pPr>
      <w:r>
        <w:rPr>
          <w:i/>
          <w:sz w:val="24"/>
        </w:rPr>
        <w:t>Adecuación de plataforma y APIs para el MVP del asistente virtual</w:t>
      </w:r>
    </w:p>
    <w:p>
      <w:pPr>
        <w:jc w:val="center"/>
      </w:pPr>
      <w:r>
        <w:rPr>
          <w:sz w:val="18"/>
        </w:rPr>
        <w:t>Dirigido a: Lalio | Versión 1.0 | 12 de julio de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vAlign w:val="center"/>
          </w:tcPr>
          <w:p>
            <w:r/>
            <w:r>
              <w:rPr>
                <w:rFonts w:ascii="Aptos" w:hAnsi="Aptos"/>
                <w:b/>
                <w:color w:val="1F4E79"/>
                <w:sz w:val="20"/>
              </w:rPr>
              <w:t>Convención de nombres: en este paquete, “LeoV” identifica al asistente virtual de FAMEDIC. “Leo” se reserva para referirse al destinatario humano cuando corresponda.</w:t>
            </w:r>
          </w:p>
        </w:tc>
      </w:tr>
    </w:tbl>
    <w:p>
      <w:pPr>
        <w:pStyle w:val="Heading1"/>
      </w:pPr>
      <w:r>
        <w:t>1. Propósito</w:t>
      </w:r>
    </w:p>
    <w:p>
      <w:r>
        <w:t>Alinear la plataforma FAMEDIC, la API Akubica y la futura integración del proveedor con las definiciones funcionales, conversacionales, operativas y de seguridad aprobadas para LeoV. Este documento convierte los hallazgos detectados en decisiones, requerimientos implementables, preguntas técnicas y criterios de aceptación.</w:t>
      </w:r>
    </w:p>
    <w:p>
      <w:pPr>
        <w:pStyle w:val="Heading1"/>
      </w:pPr>
      <w:r>
        <w:t>2. Resultado esperado</w:t>
      </w:r>
    </w:p>
    <w:p>
      <w:pPr>
        <w:pStyle w:val="ListBullet"/>
        <w:spacing w:after="40"/>
      </w:pPr>
      <w:r>
        <w:t>Un MVP de LeoV centrado principalmente en usuarios finales atendidos por WhatsApp.</w:t>
      </w:r>
    </w:p>
    <w:p>
      <w:pPr>
        <w:pStyle w:val="ListBullet"/>
        <w:spacing w:after="40"/>
      </w:pPr>
      <w:r>
        <w:t>Conocimiento estable proveniente de documentos vigentes y datos dinámicos obtenidos por API.</w:t>
      </w:r>
    </w:p>
    <w:p>
      <w:pPr>
        <w:pStyle w:val="ListBullet"/>
        <w:spacing w:after="40"/>
      </w:pPr>
      <w:r>
        <w:t>Autenticación y verificaciones sensibles mediante OTP por SMS.</w:t>
      </w:r>
    </w:p>
    <w:p>
      <w:pPr>
        <w:pStyle w:val="ListBullet"/>
        <w:spacing w:after="40"/>
      </w:pPr>
      <w:r>
        <w:t>Búsqueda y cotización confiable de estudios, incluyendo variantes y cantidades de elementos.</w:t>
      </w:r>
    </w:p>
    <w:p>
      <w:pPr>
        <w:pStyle w:val="ListBullet"/>
        <w:spacing w:after="40"/>
      </w:pPr>
      <w:r>
        <w:t>Acciones transaccionales controladas, con confirmación previa y trazabilidad.</w:t>
      </w:r>
    </w:p>
    <w:p>
      <w:pPr>
        <w:pStyle w:val="ListBullet"/>
        <w:spacing w:after="40"/>
      </w:pPr>
      <w:r>
        <w:t>Entrega segura de resultados y facturas, sin adjuntar documentos sensibles directamente en WhatsApp.</w:t>
      </w:r>
    </w:p>
    <w:p>
      <w:pPr>
        <w:pStyle w:val="ListBullet"/>
        <w:spacing w:after="40"/>
      </w:pPr>
      <w:r>
        <w:t>Un contrato API completo, consistente entre OpenAPI, Postman y guías.</w:t>
      </w:r>
    </w:p>
    <w:p>
      <w:pPr>
        <w:pStyle w:val="Heading1"/>
      </w:pPr>
      <w:r>
        <w:t>3. Decisiones funcionales aprobadas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800"/>
        <w:gridCol w:w="7488"/>
      </w:tblGrid>
      <w:tr>
        <w:tc>
          <w:tcPr>
            <w:tcW w:type="dxa" w:w="3360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Tema</w:t>
            </w:r>
          </w:p>
        </w:tc>
        <w:tc>
          <w:tcPr>
            <w:tcW w:type="dxa" w:w="3360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Decisión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DEC-001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Alias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El asistente virtual se denominará LeoV en documentos técnicos e internos.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DEC-002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Público principal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LeoV atenderá prioritariamente a usuarios finales. Empresas y médicos recibirán información general solo cuando lo soliciten expresamente.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DEC-003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Canal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WhatsApp es el canal principal; las respuestas deben ser breves, móviles, sin tablas anchas y con una pregunta principal por mensaje.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DEC-004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Fuentes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API de producción para datos dinámicos; base vigente para conocimiento estable; contenido histórico nunca como respuesta vigente.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DEC-005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Farmacia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Nueva compra y catálogo suspendidos. Pedidos históricos consultables. Mantener respuesta 503 para funciones desactivadas.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DEC-006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Cancelaciones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LeoV no cancela pedidos. La solicitud se escala; mantener endpoint desactivado mientras no exista proceso aprobado.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DEC-007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Pago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LeoV no procesa ni tokeniza pagos. Puede preparar el carrito y, si se aprueba técnicamente, generar una liga para completar el pago en FAMEDIC.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DEC-008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Resultados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interpretar resultados ni enviar PDF como adjunto. Requieren sesión, OTP SMS y liga temporal segura.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DEC-009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Facturas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Solicitud dentro del mismo mes calendario; acceso y descarga mediante control reforzado y liga segura.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DEC-010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Estudios ambiguos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seleccionar automáticamente variantes. Comparar coincidencia exacta, cantidad de elementos, aliases y componentes; mostrar máximo tres opciones.</w:t>
            </w:r>
          </w:p>
        </w:tc>
      </w:tr>
    </w:tbl>
    <w:p>
      <w:pPr>
        <w:pStyle w:val="Heading1"/>
      </w:pPr>
      <w:r>
        <w:t>4. Alcance recomendado del MVP</w:t>
      </w:r>
    </w:p>
    <w:p>
      <w:pPr>
        <w:pStyle w:val="Heading2"/>
      </w:pPr>
      <w:r>
        <w:t>4.1 Capacidades a habilitar</w:t>
      </w:r>
    </w:p>
    <w:p>
      <w:pPr>
        <w:pStyle w:val="ListBullet"/>
        <w:spacing w:after="40"/>
      </w:pPr>
      <w:r>
        <w:t>Información general de FAMEDIC, Plan Básico, relación con ODESSA y servicios vigentes.</w:t>
      </w:r>
    </w:p>
    <w:p>
      <w:pPr>
        <w:pStyle w:val="ListBullet"/>
        <w:spacing w:after="40"/>
      </w:pPr>
      <w:r>
        <w:t>Registro y acceso de LeoV mediante OTP por SMS.</w:t>
      </w:r>
    </w:p>
    <w:p>
      <w:pPr>
        <w:pStyle w:val="ListBullet"/>
        <w:spacing w:after="40"/>
      </w:pPr>
      <w:r>
        <w:t>Consulta de marcas, categorías, estudios, detalle, preparación, cita, precios, sucursales y disponibilidad.</w:t>
      </w:r>
    </w:p>
    <w:p>
      <w:pPr>
        <w:pStyle w:val="ListBullet"/>
        <w:spacing w:after="40"/>
      </w:pPr>
      <w:r>
        <w:t>Resolución de ambigüedad de estudios y variantes.</w:t>
      </w:r>
    </w:p>
    <w:p>
      <w:pPr>
        <w:pStyle w:val="ListBullet"/>
        <w:spacing w:after="40"/>
      </w:pPr>
      <w:r>
        <w:t>Carrito: consultar, agregar, retirar, vaciar y consultar totales, siempre con confirmación en modificaciones.</w:t>
      </w:r>
    </w:p>
    <w:p>
      <w:pPr>
        <w:pStyle w:val="ListBullet"/>
        <w:spacing w:after="40"/>
      </w:pPr>
      <w:r>
        <w:t>Pacientes/contactos y direcciones: consulta y CRUD con confirmación.</w:t>
      </w:r>
    </w:p>
    <w:p>
      <w:pPr>
        <w:pStyle w:val="ListBullet"/>
        <w:spacing w:after="40"/>
      </w:pPr>
      <w:r>
        <w:t>Preparación de checkout y generación de liga de pago, condicionada a seguridad, expiración y confirmación.</w:t>
      </w:r>
    </w:p>
    <w:p>
      <w:pPr>
        <w:pStyle w:val="ListBullet"/>
        <w:spacing w:after="40"/>
      </w:pPr>
      <w:r>
        <w:t>Pedidos: listado, estado, productos y pedidos históricos de Farmacia.</w:t>
      </w:r>
    </w:p>
    <w:p>
      <w:pPr>
        <w:pStyle w:val="ListBullet"/>
        <w:spacing w:after="40"/>
      </w:pPr>
      <w:r>
        <w:t>Resultados y facturas: consulta de disponibilidad y generación de acceso seguro.</w:t>
      </w:r>
    </w:p>
    <w:p>
      <w:pPr>
        <w:pStyle w:val="ListBullet"/>
        <w:spacing w:after="40"/>
      </w:pPr>
      <w:r>
        <w:t>Perfiles fiscales y solicitud de factura.</w:t>
      </w:r>
    </w:p>
    <w:p>
      <w:pPr>
        <w:pStyle w:val="ListBullet"/>
        <w:spacing w:after="40"/>
      </w:pPr>
      <w:r>
        <w:t>Escalamiento humano con transferencia de contexto mínimo.</w:t>
      </w:r>
    </w:p>
    <w:p>
      <w:pPr>
        <w:pStyle w:val="Heading2"/>
      </w:pPr>
      <w:r>
        <w:t>4.2 Fuera del MVP o bloqueado</w:t>
      </w:r>
    </w:p>
    <w:p>
      <w:pPr>
        <w:pStyle w:val="ListBullet"/>
        <w:spacing w:after="40"/>
      </w:pPr>
      <w:r>
        <w:t>Cobro o captura de tarjeta en WhatsApp.</w:t>
      </w:r>
    </w:p>
    <w:p>
      <w:pPr>
        <w:pStyle w:val="ListBullet"/>
        <w:spacing w:after="40"/>
      </w:pPr>
      <w:r>
        <w:t>Interpretación clínica, diagnóstico o recomendación de medicamentos.</w:t>
      </w:r>
    </w:p>
    <w:p>
      <w:pPr>
        <w:pStyle w:val="ListBullet"/>
        <w:spacing w:after="40"/>
      </w:pPr>
      <w:r>
        <w:t>Cancelaciones y reembolsos automáticos.</w:t>
      </w:r>
    </w:p>
    <w:p>
      <w:pPr>
        <w:pStyle w:val="ListBullet"/>
        <w:spacing w:after="40"/>
      </w:pPr>
      <w:r>
        <w:t>Farmacia nueva.</w:t>
      </w:r>
    </w:p>
    <w:p>
      <w:pPr>
        <w:pStyle w:val="ListBullet"/>
        <w:spacing w:after="40"/>
      </w:pPr>
      <w:r>
        <w:t>Fusión automática de cuentas.</w:t>
      </w:r>
    </w:p>
    <w:p>
      <w:pPr>
        <w:pStyle w:val="ListBullet"/>
        <w:spacing w:after="40"/>
      </w:pPr>
      <w:r>
        <w:t>Cotizaciones o contratación B2B.</w:t>
      </w:r>
    </w:p>
    <w:p>
      <w:pPr>
        <w:pStyle w:val="ListBullet"/>
        <w:spacing w:after="40"/>
      </w:pPr>
      <w:r>
        <w:t>Citas autónomas hasta validar slots, sucursal, confirmación y proceso operativo.</w:t>
      </w:r>
    </w:p>
    <w:p>
      <w:pPr>
        <w:pStyle w:val="ListBullet"/>
        <w:spacing w:after="40"/>
      </w:pPr>
      <w:r>
        <w:t>Descarga directa Bearer-native hacia el usuario mientras no exista liga segura.</w:t>
      </w:r>
    </w:p>
    <w:p>
      <w:pPr>
        <w:pStyle w:val="Heading1"/>
      </w:pPr>
      <w:r>
        <w:t>5. Hallazgos sobre la API actual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016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016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2016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Hallazgo</w:t>
            </w:r>
          </w:p>
        </w:tc>
        <w:tc>
          <w:tcPr>
            <w:tcW w:type="dxa" w:w="2016"/>
            <w:shd w:fill="1F4E7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Acción requerida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HAL-001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Autenticación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La API documentada usa OTP por correo; el MVP aprobado requiere OTP por SMS.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Adaptar registro, login y verificaciones sensibles a SMS, con correo como respaldo opcional.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HAL-002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Resultados/facturas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La API devuelve PDF binario con Bearer; no existe liga temporal ni segundo factor.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Crear endpoint de liga segura temporal, ligado a usuario y recurso.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HAL-003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Contrato API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OpenAPI, Postman y guías no presentan la misma cobertura.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Entregar OpenAPI consolidado con todas las operaciones disponibles.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HAL-004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Autorización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 está documentada la validación de titularidad por recurso.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Documentar y probar autorización para pedidos, resultados, facturas, contactos y direcciones.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HAL-005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OTP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 están documentados TTL, intentos, reenvíos, bloqueo ni anti-enumeración.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Implementar y documentar política completa.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HAL-006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Catálogo público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Documentos funcionales permiten consulta pública, pero Postman envía Bearer.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Confirmar y definir si catálogo/precios son públicos.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HAL-007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Estudios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 se demuestra soporte para aliases, elementos, componentes ni equivalencias.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Enriquecer búsqueda y detalle.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HAL-008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Citas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 de cita no incluye store_id ni slots; no se sabe si confirma o solicita.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Rediseñar o aclarar contrato y flujo.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HAL-009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Idempotencia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 está documentada en operaciones de escritura.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Agregar Idempotency-Key o mecanismo equivalente.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HAL-010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Escalamiento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 existe endpoint documentado para transferir contexto a atención.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Crear integración o definir mecanismo operativo.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HAL-011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Errores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Códigos y políticas de reintento están incompletos.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Estandarizar errores y clasificación retryable/no retryable.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HAL-012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Postman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Environment contiene variable password aunque el flujo no la usa.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Eliminar variable y asegurar secretos.</w:t>
            </w:r>
          </w:p>
        </w:tc>
      </w:tr>
    </w:tbl>
    <w:p>
      <w:pPr>
        <w:pStyle w:val="Heading1"/>
      </w:pPr>
      <w:r>
        <w:t>6. Requerimientos obligatorios P0</w:t>
      </w:r>
    </w:p>
    <w:p>
      <w:r>
        <w:rPr>
          <w:b/>
          <w:color w:val="1F4E79"/>
        </w:rPr>
        <w:t>REQ-AUT-001 — OTP SMS para registro y login</w:t>
      </w:r>
      <w:r>
        <w:br/>
        <w:t>Enviar código por SMS; correo opcional como respaldo. La API no debe requerir contraseña para el canal LeoV.</w:t>
      </w:r>
    </w:p>
    <w:p>
      <w:r>
        <w:rPr>
          <w:b/>
          <w:color w:val="1F4E79"/>
        </w:rPr>
        <w:t>REQ-AUT-002 — Política OTP</w:t>
      </w:r>
      <w:r>
        <w:br/>
        <w:t>TTL recomendado 5 minutos; 5 intentos; reenvío después de 60 segundos; máximo 3 reenvíos en 15 minutos; bloqueo temporal; uso único; asociación a intención.</w:t>
      </w:r>
    </w:p>
    <w:p>
      <w:r>
        <w:rPr>
          <w:b/>
          <w:color w:val="1F4E79"/>
        </w:rPr>
        <w:t>REQ-AUT-003 — Protección anti-enumeración</w:t>
      </w:r>
      <w:r>
        <w:br/>
        <w:t>Las respuestas de solicitud de código no deben revelar si una cuenta existe.</w:t>
      </w:r>
    </w:p>
    <w:p>
      <w:r>
        <w:rPr>
          <w:b/>
          <w:color w:val="1F4E79"/>
        </w:rPr>
        <w:t>REQ-SEC-001 — Titularidad del recurso</w:t>
      </w:r>
      <w:r>
        <w:br/>
        <w:t>Cada endpoint debe comprobar que el token puede acceder al recurso solicitado.</w:t>
      </w:r>
    </w:p>
    <w:p>
      <w:r>
        <w:rPr>
          <w:b/>
          <w:color w:val="1F4E79"/>
        </w:rPr>
        <w:t>REQ-SEC-002 — Ligas seguras</w:t>
      </w:r>
      <w:r>
        <w:br/>
        <w:t>Generar ligas de resultados y facturas con TTL de 60 minutos, revocables, sin datos sensibles en URL y con registro de apertura.</w:t>
      </w:r>
    </w:p>
    <w:p>
      <w:r>
        <w:rPr>
          <w:b/>
          <w:color w:val="1F4E79"/>
        </w:rPr>
        <w:t>REQ-API-001 — OpenAPI completo</w:t>
      </w:r>
      <w:r>
        <w:br/>
        <w:t>La especificación debe cubrir todas las rutas liberadas y coincidir con Postman y guías.</w:t>
      </w:r>
    </w:p>
    <w:p>
      <w:r>
        <w:rPr>
          <w:b/>
          <w:color w:val="1F4E79"/>
        </w:rPr>
        <w:t>REQ-API-002 — Idempotencia</w:t>
      </w:r>
      <w:r>
        <w:br/>
        <w:t>Operaciones CREATE/UPDATE/DELETE críticas deben aceptar una clave idempotente.</w:t>
      </w:r>
    </w:p>
    <w:p>
      <w:r>
        <w:rPr>
          <w:b/>
          <w:color w:val="1F4E79"/>
        </w:rPr>
        <w:t>REQ-OPS-001 — Escalamiento</w:t>
      </w:r>
      <w:r>
        <w:br/>
        <w:t>Definir endpoint o mecanismo para enviar contexto mínimo a atención humana y confirmar que fue recibido.</w:t>
      </w:r>
    </w:p>
    <w:p>
      <w:pPr>
        <w:pStyle w:val="Heading1"/>
      </w:pPr>
      <w:r>
        <w:t>7. Requerimientos funcionales P1</w:t>
      </w:r>
    </w:p>
    <w:p>
      <w:pPr>
        <w:pStyle w:val="ListBullet"/>
        <w:spacing w:after="40"/>
      </w:pPr>
      <w:r>
        <w:t>Catálogo: devolver nombre oficial, aliases, element_count, components, preparación, cita, marca, precio, cobertura, disponibilidad y vigencia.</w:t>
      </w:r>
    </w:p>
    <w:p>
      <w:pPr>
        <w:pStyle w:val="ListBullet"/>
        <w:spacing w:after="40"/>
      </w:pPr>
      <w:r>
        <w:t>Búsqueda: aceptar errores ortográficos y devolver score/tipo de coincidencia sin declarar equivalencias no confirmadas.</w:t>
      </w:r>
    </w:p>
    <w:p>
      <w:pPr>
        <w:pStyle w:val="ListBullet"/>
        <w:spacing w:after="40"/>
      </w:pPr>
      <w:r>
        <w:t>Citas: exponer sucursal, slots reales, zona horaria, estado solicitado/confirmado, reglas de reprogramación y cancelación.</w:t>
      </w:r>
    </w:p>
    <w:p>
      <w:pPr>
        <w:pStyle w:val="ListBullet"/>
        <w:spacing w:after="40"/>
      </w:pPr>
      <w:r>
        <w:t>Payment link: definir expiración, un solo uso, relación con carrito, invalidez después del pago y qué ocurre si cambia el carrito.</w:t>
      </w:r>
    </w:p>
    <w:p>
      <w:pPr>
        <w:pStyle w:val="ListBullet"/>
        <w:spacing w:after="40"/>
      </w:pPr>
      <w:r>
        <w:t>Errores: incluir code estable, message segura, details validables, correlation_id y retryable.</w:t>
      </w:r>
    </w:p>
    <w:p>
      <w:pPr>
        <w:pStyle w:val="ListBullet"/>
        <w:spacing w:after="40"/>
      </w:pPr>
      <w:r>
        <w:t>Auditoría: registrar usuario, canal, intención, endpoint, resultado, identificador, error y escalamiento sin guardar secretos.</w:t>
      </w:r>
    </w:p>
    <w:p>
      <w:pPr>
        <w:pStyle w:val="ListBullet"/>
        <w:spacing w:after="40"/>
      </w:pPr>
      <w:r>
        <w:t>Perfil y planes: confirmar endpoints o declarar fuera de MVP para perfil principal, familiares, plan activo y beneficios.</w:t>
      </w:r>
    </w:p>
    <w:p>
      <w:pPr>
        <w:pStyle w:val="Heading1"/>
      </w:pPr>
      <w:r>
        <w:t>8. Preguntas de decisión para Lalio</w:t>
      </w:r>
    </w:p>
    <w:p>
      <w:pPr>
        <w:pStyle w:val="ListNumber"/>
        <w:spacing w:after="40"/>
      </w:pPr>
      <w:r>
        <w:t>¿Los endpoints de catálogo funcionan sin Bearer token? ¿Cuál será la política definitiva?</w:t>
      </w:r>
    </w:p>
    <w:p>
      <w:pPr>
        <w:pStyle w:val="ListNumber"/>
        <w:spacing w:after="40"/>
      </w:pPr>
      <w:r>
        <w:t>¿Qué proveedor SMS utiliza FAMEDIC y puede reutilizarse para la API Akubica?</w:t>
      </w:r>
    </w:p>
    <w:p>
      <w:pPr>
        <w:pStyle w:val="ListNumber"/>
        <w:spacing w:after="40"/>
      </w:pPr>
      <w:r>
        <w:t>¿Cuál será la política final de OTP y token de sesión?</w:t>
      </w:r>
    </w:p>
    <w:p>
      <w:pPr>
        <w:pStyle w:val="ListNumber"/>
        <w:spacing w:after="40"/>
      </w:pPr>
      <w:r>
        <w:t>¿Cómo se evita que un usuario consulte un order_id, contact_id o invoice_id ajeno?</w:t>
      </w:r>
    </w:p>
    <w:p>
      <w:pPr>
        <w:pStyle w:val="ListNumber"/>
        <w:spacing w:after="40"/>
      </w:pPr>
      <w:r>
        <w:t>¿Puede implementarse una liga segura temporal sin exponer Bearer token al navegador o WhatsApp?</w:t>
      </w:r>
    </w:p>
    <w:p>
      <w:pPr>
        <w:pStyle w:val="ListNumber"/>
        <w:spacing w:after="40"/>
      </w:pPr>
      <w:r>
        <w:t>¿El payment link es de un solo uso? ¿Qué TTL admite y cómo se invalida?</w:t>
      </w:r>
    </w:p>
    <w:p>
      <w:pPr>
        <w:pStyle w:val="ListNumber"/>
        <w:spacing w:after="40"/>
      </w:pPr>
      <w:r>
        <w:t>¿La cita creada queda confirmada o solo solicitada? ¿Cómo se selecciona sucursal y slot?</w:t>
      </w:r>
    </w:p>
    <w:p>
      <w:pPr>
        <w:pStyle w:val="ListNumber"/>
        <w:spacing w:after="40"/>
      </w:pPr>
      <w:r>
        <w:t>¿Qué campos devuelve actualmente el catálogo para componentes y variantes?</w:t>
      </w:r>
    </w:p>
    <w:p>
      <w:pPr>
        <w:pStyle w:val="ListNumber"/>
        <w:spacing w:after="40"/>
      </w:pPr>
      <w:r>
        <w:t>¿Qué mecanismo se usará para escalamiento humano y recepción de contexto?</w:t>
      </w:r>
    </w:p>
    <w:p>
      <w:pPr>
        <w:pStyle w:val="ListNumber"/>
        <w:spacing w:after="40"/>
      </w:pPr>
      <w:r>
        <w:t>¿Cuál será la fuente técnica oficial tras la actualización: OpenAPI consolidado?</w:t>
      </w:r>
    </w:p>
    <w:p>
      <w:pPr>
        <w:pStyle w:val="Heading1"/>
      </w:pPr>
      <w:r>
        <w:t>9. Entregables solicitados a Lalio</w:t>
      </w:r>
    </w:p>
    <w:p>
      <w:pPr>
        <w:pStyle w:val="ListBullet"/>
        <w:spacing w:after="40"/>
      </w:pPr>
      <w:r>
        <w:t>OpenAPI 3.x consolidado y versionado.</w:t>
      </w:r>
    </w:p>
    <w:p>
      <w:pPr>
        <w:pStyle w:val="ListBullet"/>
        <w:spacing w:after="40"/>
      </w:pPr>
      <w:r>
        <w:t>Colección Postman y environment sanitizado.</w:t>
      </w:r>
    </w:p>
    <w:p>
      <w:pPr>
        <w:pStyle w:val="ListBullet"/>
        <w:spacing w:after="40"/>
      </w:pPr>
      <w:r>
        <w:t>Matriz endpoint–capacidad–estado de liberación.</w:t>
      </w:r>
    </w:p>
    <w:p>
      <w:pPr>
        <w:pStyle w:val="ListBullet"/>
        <w:spacing w:after="40"/>
      </w:pPr>
      <w:r>
        <w:t>Política de OTP, tokens y sesiones.</w:t>
      </w:r>
    </w:p>
    <w:p>
      <w:pPr>
        <w:pStyle w:val="ListBullet"/>
        <w:spacing w:after="40"/>
      </w:pPr>
      <w:r>
        <w:t>Catálogo de errores con ejemplos.</w:t>
      </w:r>
    </w:p>
    <w:p>
      <w:pPr>
        <w:pStyle w:val="ListBullet"/>
        <w:spacing w:after="40"/>
      </w:pPr>
      <w:r>
        <w:t>Evidencia de autorización por recurso.</w:t>
      </w:r>
    </w:p>
    <w:p>
      <w:pPr>
        <w:pStyle w:val="ListBullet"/>
        <w:spacing w:after="40"/>
      </w:pPr>
      <w:r>
        <w:t>Evidencia de idempotencia.</w:t>
      </w:r>
    </w:p>
    <w:p>
      <w:pPr>
        <w:pStyle w:val="ListBullet"/>
        <w:spacing w:after="40"/>
      </w:pPr>
      <w:r>
        <w:t>Pruebas de ligas seguras de resultados y facturas.</w:t>
      </w:r>
    </w:p>
    <w:p>
      <w:pPr>
        <w:pStyle w:val="ListBullet"/>
        <w:spacing w:after="40"/>
      </w:pPr>
      <w:r>
        <w:t>Pruebas de búsqueda de variantes de estudios.</w:t>
      </w:r>
    </w:p>
    <w:p>
      <w:pPr>
        <w:pStyle w:val="ListBullet"/>
        <w:spacing w:after="40"/>
      </w:pPr>
      <w:r>
        <w:t>Pruebas de payment link y citas.</w:t>
      </w:r>
    </w:p>
    <w:p>
      <w:pPr>
        <w:pStyle w:val="ListBullet"/>
        <w:spacing w:after="40"/>
      </w:pPr>
      <w:r>
        <w:t>Mecanismo documentado de escalamiento.</w:t>
      </w:r>
    </w:p>
    <w:p>
      <w:pPr>
        <w:pStyle w:val="ListBullet"/>
        <w:spacing w:after="40"/>
      </w:pPr>
      <w:r>
        <w:t>Reporte de resultados del checklist de aceptación.</w:t>
      </w:r>
    </w:p>
    <w:p>
      <w:pPr>
        <w:pStyle w:val="Heading1"/>
      </w:pPr>
      <w:r>
        <w:t>10. Orden recomendado de implementación</w:t>
      </w:r>
    </w:p>
    <w:p>
      <w:pPr>
        <w:pStyle w:val="ListNumber"/>
        <w:spacing w:after="40"/>
      </w:pPr>
      <w:r>
        <w:t>Confirmar alcance cerrado del MVP y decisiones de autenticación.</w:t>
      </w:r>
    </w:p>
    <w:p>
      <w:pPr>
        <w:pStyle w:val="ListNumber"/>
        <w:spacing w:after="40"/>
      </w:pPr>
      <w:r>
        <w:t>Implementar OTP por SMS y política de sesión.</w:t>
      </w:r>
    </w:p>
    <w:p>
      <w:pPr>
        <w:pStyle w:val="ListNumber"/>
        <w:spacing w:after="40"/>
      </w:pPr>
      <w:r>
        <w:t>Completar OpenAPI y estandarizar errores.</w:t>
      </w:r>
    </w:p>
    <w:p>
      <w:pPr>
        <w:pStyle w:val="ListNumber"/>
        <w:spacing w:after="40"/>
      </w:pPr>
      <w:r>
        <w:t>Fortalecer autorización, idempotencia y auditoría.</w:t>
      </w:r>
    </w:p>
    <w:p>
      <w:pPr>
        <w:pStyle w:val="ListNumber"/>
        <w:spacing w:after="40"/>
      </w:pPr>
      <w:r>
        <w:t>Implementar ligas seguras para documentos.</w:t>
      </w:r>
    </w:p>
    <w:p>
      <w:pPr>
        <w:pStyle w:val="ListNumber"/>
        <w:spacing w:after="40"/>
      </w:pPr>
      <w:r>
        <w:t>Enriquecer catálogo y búsqueda de variantes.</w:t>
      </w:r>
    </w:p>
    <w:p>
      <w:pPr>
        <w:pStyle w:val="ListNumber"/>
        <w:spacing w:after="40"/>
      </w:pPr>
      <w:r>
        <w:t>Definir y ajustar citas, payment link y escalamiento.</w:t>
      </w:r>
    </w:p>
    <w:p>
      <w:pPr>
        <w:pStyle w:val="ListNumber"/>
        <w:spacing w:after="40"/>
      </w:pPr>
      <w:r>
        <w:t>Ejecutar checklist de seguridad y pruebas end-to-end.</w:t>
      </w:r>
    </w:p>
    <w:p>
      <w:pPr>
        <w:pStyle w:val="ListNumber"/>
        <w:spacing w:after="40"/>
      </w:pPr>
      <w:r>
        <w:t>Entregar contratos definitivos al proveedor externo.</w:t>
      </w:r>
    </w:p>
    <w:p>
      <w:pPr>
        <w:pStyle w:val="Heading1"/>
      </w:pPr>
      <w:r>
        <w:t>11. Criterio de liberación</w:t>
      </w:r>
    </w:p>
    <w:p>
      <w:r>
        <w:t>Una capacidad solo podrá declararse “Habilitada en producción” cuando exista contrato API definitivo, controles de seguridad, pruebas satisfactorias, evidencia, manejo de errores, trazabilidad y aprobación funcional. La existencia de un endpoint no equivale a autorización de uso por LeoV.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Documento interno de trabajo |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FAMEDIC–LeoV | Handoff para Lalio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