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6B2D3C"/>
          <w:sz w:val="36"/>
          <w:szCs w:val="36"/>
        </w:rPr>
        <w:t xml:space="preserve">Pelbu Suites</w:t>
      </w:r>
    </w:p>
    <w:p>
      <w:pPr>
        <w:spacing w:after="40"/>
        <w:jc w:val="center"/>
      </w:pPr>
      <w:r>
        <w:rPr>
          <w:b/>
          <w:bCs/>
          <w:color w:val="2C1810"/>
          <w:sz w:val="26"/>
          <w:szCs w:val="26"/>
        </w:rPr>
        <w:t xml:space="preserve">BAFRA Hotel Compliance and SOP Manual</w:t>
      </w:r>
    </w:p>
    <w:p>
      <w:pPr>
        <w:spacing w:after="200"/>
        <w:jc w:val="center"/>
      </w:pPr>
      <w:r>
        <w:rPr>
          <w:i/>
          <w:iCs/>
          <w:color w:val="555555"/>
          <w:sz w:val="24"/>
          <w:szCs w:val="24"/>
        </w:rPr>
        <w:t xml:space="preserve">Department Manual — F&amp;B Service (Restaurant / Café / Bar)</w:t>
      </w:r>
    </w:p>
    <w:p>
      <w:pPr>
        <w:spacing w:after="80"/>
      </w:pPr>
      <w:r>
        <w:rPr>
          <w:b/>
          <w:bCs/>
          <w:color w:val="2C1810"/>
          <w:sz w:val="22"/>
          <w:szCs w:val="22"/>
        </w:rPr>
        <w:t xml:space="preserve">Regulatory authority: </w:t>
      </w:r>
      <w:r>
        <w:rPr>
          <w:color w:val="2C1810"/>
          <w:sz w:val="22"/>
          <w:szCs w:val="22"/>
        </w:rPr>
        <w:t xml:space="preserve">Bhutan Agriculture and Food Regulatory Authority (BAFRA)</w:t>
      </w:r>
    </w:p>
    <w:p>
      <w:pPr>
        <w:spacing w:after="80"/>
      </w:pPr>
      <w:r>
        <w:rPr>
          <w:b/>
          <w:bCs/>
          <w:color w:val="2C1810"/>
          <w:sz w:val="22"/>
          <w:szCs w:val="22"/>
        </w:rPr>
        <w:t xml:space="preserve">Property: </w:t>
      </w:r>
      <w:r>
        <w:rPr>
          <w:color w:val="2C1810"/>
          <w:sz w:val="22"/>
          <w:szCs w:val="22"/>
        </w:rPr>
        <w:t xml:space="preserve">Pelbu Suites</w:t>
      </w:r>
    </w:p>
    <w:p>
      <w:pPr>
        <w:spacing w:after="80"/>
      </w:pPr>
      <w:r>
        <w:rPr>
          <w:b/>
          <w:bCs/>
          <w:color w:val="2C1810"/>
          <w:sz w:val="22"/>
          <w:szCs w:val="22"/>
        </w:rPr>
        <w:t xml:space="preserve">Department: </w:t>
      </w:r>
      <w:r>
        <w:rPr>
          <w:color w:val="2C1810"/>
          <w:sz w:val="22"/>
          <w:szCs w:val="22"/>
        </w:rPr>
        <w:t xml:space="preserve">F&amp;B Service (Restaurant / Café / Bar)</w:t>
      </w:r>
    </w:p>
    <w:p>
      <w:pPr>
        <w:spacing w:after="80"/>
      </w:pPr>
      <w:r>
        <w:rPr>
          <w:b/>
          <w:bCs/>
          <w:color w:val="2C1810"/>
          <w:sz w:val="22"/>
          <w:szCs w:val="22"/>
        </w:rPr>
        <w:t xml:space="preserve">Document type: </w:t>
      </w:r>
      <w:r>
        <w:rPr>
          <w:color w:val="2C1810"/>
          <w:sz w:val="22"/>
          <w:szCs w:val="22"/>
        </w:rPr>
        <w:t xml:space="preserve">Department SOP, logbooks &amp; compliance pack</w:t>
      </w:r>
    </w:p>
    <w:p>
      <w:pPr>
        <w:spacing w:after="80"/>
      </w:pPr>
      <w:r>
        <w:rPr>
          <w:b/>
          <w:bCs/>
          <w:color w:val="2C1810"/>
          <w:sz w:val="22"/>
          <w:szCs w:val="22"/>
        </w:rPr>
        <w:t xml:space="preserve">Review cycle: </w:t>
      </w:r>
      <w:r>
        <w:rPr>
          <w:color w:val="2C1810"/>
          <w:sz w:val="22"/>
          <w:szCs w:val="22"/>
        </w:rPr>
        <w:t xml:space="preserve">Annual, or after any BAFRA inspection finding</w:t>
      </w:r>
    </w:p>
    <w:p>
      <w:pPr>
        <w:spacing w:after="200"/>
      </w:pPr>
    </w:p>
    <w:p>
      <w:pPr>
        <w:pStyle w:val="Heading1"/>
        <w:spacing w:after="160" w:before="240"/>
      </w:pPr>
      <w:r>
        <w:rPr>
          <w:b/>
          <w:bCs/>
          <w:color w:val="6B2D3C"/>
        </w:rPr>
        <w:t xml:space="preserve">1. Department role</w:t>
      </w:r>
    </w:p>
    <w:p>
      <w:pPr>
        <w:spacing w:after="120"/>
      </w:pPr>
      <w:r>
        <w:rPr>
          <w:color w:val="2C1810"/>
          <w:sz w:val="22"/>
          <w:szCs w:val="22"/>
        </w:rPr>
        <w:t xml:space="preserve">F&amp;B Service ensures safe holding and service of food and beverages, personal hygiene of service staff, cleanliness of dining areas, and correct handling of leftovers and guest-facing stations (buffets, bars, pastry counters).</w:t>
      </w:r>
    </w:p>
    <w:p>
      <w:pPr>
        <w:pStyle w:val="Heading1"/>
        <w:spacing w:after="160" w:before="240"/>
      </w:pPr>
      <w:r>
        <w:rPr>
          <w:b/>
          <w:bCs/>
          <w:color w:val="6B2D3C"/>
        </w:rPr>
        <w:t xml:space="preserve">2. Documents linked to this department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C1810"/>
          <w:sz w:val="22"/>
          <w:szCs w:val="22"/>
        </w:rPr>
        <w:t xml:space="preserve">Medical fitness certificates for all service staff (via HR).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C1810"/>
          <w:sz w:val="22"/>
          <w:szCs w:val="22"/>
        </w:rPr>
        <w:t xml:space="preserve">Cleaning &amp; Sanitization Log for dining room, service stations, and bar.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C1810"/>
          <w:sz w:val="22"/>
          <w:szCs w:val="22"/>
        </w:rPr>
        <w:t xml:space="preserve">Hot/cold holding spot checks during service (record on service sheet or attach to Kitchen cold/hot log).</w:t>
      </w:r>
    </w:p>
    <w:p>
      <w:pPr>
        <w:pStyle w:val="Heading1"/>
        <w:spacing w:after="160" w:before="240"/>
      </w:pPr>
      <w:r>
        <w:rPr>
          <w:b/>
          <w:bCs/>
          <w:color w:val="6B2D3C"/>
        </w:rPr>
        <w:t xml:space="preserve">3. SOP 01 — Personal Hygiene Policy (Service staff)</w:t>
      </w:r>
    </w:p>
    <w:p>
      <w:pPr>
        <w:pStyle w:val="Heading2"/>
        <w:spacing w:after="120" w:before="200"/>
      </w:pPr>
      <w:r>
        <w:rPr>
          <w:b/>
          <w:bCs/>
          <w:color w:val="2C1810"/>
        </w:rPr>
        <w:t xml:space="preserve">Objective</w:t>
      </w:r>
    </w:p>
    <w:p>
      <w:pPr>
        <w:spacing w:after="120"/>
      </w:pPr>
      <w:r>
        <w:rPr>
          <w:color w:val="2C1810"/>
          <w:sz w:val="22"/>
          <w:szCs w:val="22"/>
        </w:rPr>
        <w:t xml:space="preserve">Prevent guest-facing contamination from restaurant, café, and bar staff.</w:t>
      </w:r>
    </w:p>
    <w:p>
      <w:pPr>
        <w:pStyle w:val="Heading2"/>
        <w:spacing w:after="120" w:before="200"/>
      </w:pPr>
      <w:r>
        <w:rPr>
          <w:b/>
          <w:bCs/>
          <w:color w:val="2C1810"/>
        </w:rPr>
        <w:t xml:space="preserve">Uniform &amp; appearance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color w:val="2C1810"/>
          <w:sz w:val="22"/>
          <w:szCs w:val="22"/>
        </w:rPr>
        <w:t xml:space="preserve">Clean outlet uniform; change if soiled.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color w:val="2C1810"/>
          <w:sz w:val="22"/>
          <w:szCs w:val="22"/>
        </w:rPr>
        <w:t xml:space="preserve">Hair restrained (tied back / covered as outlet standard); closed-toe shoes.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color w:val="2C1810"/>
          <w:sz w:val="22"/>
          <w:szCs w:val="22"/>
        </w:rPr>
        <w:t xml:space="preserve">Fingernails short and clean; no artificial nails when plating or handling open food.</w:t>
      </w:r>
    </w:p>
    <w:p>
      <w:pPr>
        <w:pStyle w:val="Heading2"/>
        <w:spacing w:after="120" w:before="200"/>
      </w:pPr>
      <w:r>
        <w:rPr>
          <w:b/>
          <w:bCs/>
          <w:color w:val="2C1810"/>
        </w:rPr>
        <w:t xml:space="preserve">Jewellery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color w:val="2C1810"/>
          <w:sz w:val="22"/>
          <w:szCs w:val="22"/>
        </w:rPr>
        <w:t xml:space="preserve">No jewellery that contacts food or drink; remove before plating, garnishing, or clearing soiled ware into food areas.</w:t>
      </w:r>
    </w:p>
    <w:p>
      <w:pPr>
        <w:pStyle w:val="Heading2"/>
        <w:spacing w:after="120" w:before="200"/>
      </w:pPr>
      <w:r>
        <w:rPr>
          <w:b/>
          <w:bCs/>
          <w:color w:val="2C1810"/>
        </w:rPr>
        <w:t xml:space="preserve">Handwashing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color w:val="2C1810"/>
          <w:sz w:val="22"/>
          <w:szCs w:val="22"/>
        </w:rPr>
        <w:t xml:space="preserve">Wash hands ≥ 20 seconds with soap before service, after clearing soiled plates, after restroom, after handling waste or money, and before returning to guest food.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color w:val="2C1810"/>
          <w:sz w:val="22"/>
          <w:szCs w:val="22"/>
        </w:rPr>
        <w:t xml:space="preserve">Dry with single-use towels; do not wipe hands on apron or cloths used for tables.</w:t>
      </w:r>
    </w:p>
    <w:p>
      <w:pPr>
        <w:pStyle w:val="Heading2"/>
        <w:spacing w:after="120" w:before="200"/>
      </w:pPr>
      <w:r>
        <w:rPr>
          <w:b/>
          <w:bCs/>
          <w:color w:val="2C1810"/>
        </w:rPr>
        <w:t xml:space="preserve">Illness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color w:val="2C1810"/>
          <w:sz w:val="22"/>
          <w:szCs w:val="22"/>
        </w:rPr>
        <w:t xml:space="preserve">Report fever, diarrhoea, vomiting, open infected wounds, or respiratory infection immediately — do not serve food until cleared / reassigned.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color w:val="2C1810"/>
          <w:sz w:val="22"/>
          <w:szCs w:val="22"/>
        </w:rPr>
        <w:t xml:space="preserve">Cuts: waterproof plaster + glove when handling food or drinkware.</w:t>
      </w:r>
    </w:p>
    <w:p>
      <w:pPr>
        <w:pStyle w:val="Heading2"/>
        <w:spacing w:after="120" w:before="200"/>
      </w:pPr>
      <w:r>
        <w:rPr>
          <w:b/>
          <w:bCs/>
          <w:color w:val="2C1810"/>
        </w:rPr>
        <w:t xml:space="preserve">Service behaviour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color w:val="2C1810"/>
          <w:sz w:val="22"/>
          <w:szCs w:val="22"/>
        </w:rPr>
        <w:t xml:space="preserve">No smoking, gum, or eating at guest stations or pass.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color w:val="2C1810"/>
          <w:sz w:val="22"/>
          <w:szCs w:val="22"/>
        </w:rPr>
        <w:t xml:space="preserve">Do not taste guest drinks/food with used glassware or shared spoons.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color w:val="2C1810"/>
          <w:sz w:val="22"/>
          <w:szCs w:val="22"/>
        </w:rPr>
        <w:t xml:space="preserve">Cover coughs/sneezes; wash hands before returning to service.</w:t>
      </w:r>
    </w:p>
    <w:p>
      <w:pPr>
        <w:pStyle w:val="Heading1"/>
        <w:spacing w:after="160" w:before="240"/>
      </w:pPr>
      <w:r>
        <w:rPr>
          <w:b/>
          <w:bCs/>
          <w:color w:val="6B2D3C"/>
        </w:rPr>
        <w:t xml:space="preserve">4. SOP 03 — Holding &amp; service temperatures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C1810"/>
          <w:sz w:val="22"/>
          <w:szCs w:val="22"/>
        </w:rPr>
        <w:t xml:space="preserve">Hot holding maintained above 60°C.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C1810"/>
          <w:sz w:val="22"/>
          <w:szCs w:val="22"/>
        </w:rPr>
        <w:t xml:space="preserve">Cold holding at or below 4°C (salad bars, dairy, chilled desserts).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C1810"/>
          <w:sz w:val="22"/>
          <w:szCs w:val="22"/>
        </w:rPr>
        <w:t xml:space="preserve">Do not mix raw and ready-to-eat on the same service utensil or board.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C1810"/>
          <w:sz w:val="22"/>
          <w:szCs w:val="22"/>
        </w:rPr>
        <w:t xml:space="preserve">Discard food past safe holding time; never reheat repeatedly for service.</w:t>
      </w:r>
    </w:p>
    <w:p>
      <w:pPr>
        <w:pStyle w:val="Heading1"/>
        <w:spacing w:after="160" w:before="240"/>
      </w:pPr>
      <w:r>
        <w:rPr>
          <w:b/>
          <w:bCs/>
          <w:color w:val="6B2D3C"/>
        </w:rPr>
        <w:t xml:space="preserve">5. Cleaning log — dining &amp; service areas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5F2"/>
          </w:tcPr>
          <w:p>
            <w:r>
              <w:rPr>
                <w:b/>
                <w:bCs/>
                <w:color w:val="2C1810"/>
                <w:sz w:val="18"/>
                <w:szCs w:val="18"/>
              </w:rPr>
              <w:t xml:space="preserve">Area / Equipment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5F2"/>
          </w:tcPr>
          <w:p>
            <w:r>
              <w:rPr>
                <w:b/>
                <w:bCs/>
                <w:color w:val="2C1810"/>
                <w:sz w:val="18"/>
                <w:szCs w:val="18"/>
              </w:rPr>
              <w:t xml:space="preserve">Agent used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5F2"/>
          </w:tcPr>
          <w:p>
            <w:r>
              <w:rPr>
                <w:b/>
                <w:bCs/>
                <w:color w:val="2C1810"/>
                <w:sz w:val="18"/>
                <w:szCs w:val="18"/>
              </w:rPr>
              <w:t xml:space="preserve">Frequency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5F2"/>
          </w:tcPr>
          <w:p>
            <w:r>
              <w:rPr>
                <w:b/>
                <w:bCs/>
                <w:color w:val="2C1810"/>
                <w:sz w:val="18"/>
                <w:szCs w:val="18"/>
              </w:rPr>
              <w:t xml:space="preserve">Date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5F2"/>
          </w:tcPr>
          <w:p>
            <w:r>
              <w:rPr>
                <w:b/>
                <w:bCs/>
                <w:color w:val="2C1810"/>
                <w:sz w:val="18"/>
                <w:szCs w:val="18"/>
              </w:rPr>
              <w:t xml:space="preserve">Time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5F2"/>
          </w:tcPr>
          <w:p>
            <w:r>
              <w:rPr>
                <w:b/>
                <w:bCs/>
                <w:color w:val="2C1810"/>
                <w:sz w:val="18"/>
                <w:szCs w:val="18"/>
              </w:rPr>
              <w:t xml:space="preserve">Cleaner sign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5F2"/>
          </w:tcPr>
          <w:p>
            <w:r>
              <w:rPr>
                <w:b/>
                <w:bCs/>
                <w:color w:val="2C1810"/>
                <w:sz w:val="18"/>
                <w:szCs w:val="18"/>
              </w:rPr>
              <w:t xml:space="preserve">Supervisor</w:t>
            </w:r>
          </w:p>
        </w:tc>
      </w:tr>
      <w:tr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</w:tbl>
    <w:p>
      <w:pPr>
        <w:spacing w:before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5F2"/>
          </w:tcPr>
          <w:p>
            <w:r>
              <w:rPr>
                <w:b/>
                <w:bCs/>
                <w:color w:val="2C1810"/>
                <w:sz w:val="18"/>
                <w:szCs w:val="18"/>
              </w:rPr>
              <w:t xml:space="preserve">Area / Equipment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5F2"/>
          </w:tcPr>
          <w:p>
            <w:r>
              <w:rPr>
                <w:b/>
                <w:bCs/>
                <w:color w:val="2C1810"/>
                <w:sz w:val="18"/>
                <w:szCs w:val="18"/>
              </w:rPr>
              <w:t xml:space="preserve">Agent used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5F2"/>
          </w:tcPr>
          <w:p>
            <w:r>
              <w:rPr>
                <w:b/>
                <w:bCs/>
                <w:color w:val="2C1810"/>
                <w:sz w:val="18"/>
                <w:szCs w:val="18"/>
              </w:rPr>
              <w:t xml:space="preserve">Frequency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5F2"/>
          </w:tcPr>
          <w:p>
            <w:r>
              <w:rPr>
                <w:b/>
                <w:bCs/>
                <w:color w:val="2C1810"/>
                <w:sz w:val="18"/>
                <w:szCs w:val="18"/>
              </w:rPr>
              <w:t xml:space="preserve">Date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5F2"/>
          </w:tcPr>
          <w:p>
            <w:r>
              <w:rPr>
                <w:b/>
                <w:bCs/>
                <w:color w:val="2C1810"/>
                <w:sz w:val="18"/>
                <w:szCs w:val="18"/>
              </w:rPr>
              <w:t xml:space="preserve">Time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5F2"/>
          </w:tcPr>
          <w:p>
            <w:r>
              <w:rPr>
                <w:b/>
                <w:bCs/>
                <w:color w:val="2C1810"/>
                <w:sz w:val="18"/>
                <w:szCs w:val="18"/>
              </w:rPr>
              <w:t xml:space="preserve">Cleaner sign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5F2"/>
          </w:tcPr>
          <w:p>
            <w:r>
              <w:rPr>
                <w:b/>
                <w:bCs/>
                <w:color w:val="2C1810"/>
                <w:sz w:val="18"/>
                <w:szCs w:val="18"/>
              </w:rPr>
              <w:t xml:space="preserve">Supervisor</w:t>
            </w:r>
          </w:p>
        </w:tc>
      </w:tr>
      <w:tr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</w:tbl>
    <w:p>
      <w:pPr>
        <w:pStyle w:val="Heading1"/>
        <w:spacing w:after="160" w:before="240"/>
      </w:pPr>
      <w:r>
        <w:rPr>
          <w:b/>
          <w:bCs/>
          <w:color w:val="6B2D3C"/>
        </w:rPr>
        <w:t xml:space="preserve">6. Outlet checklist (per shift)</w:t>
      </w:r>
    </w:p>
    <w:p>
      <w:pPr>
        <w:spacing w:after="80"/>
      </w:pPr>
      <w:r>
        <w:rPr>
          <w:color w:val="2C1810"/>
          <w:sz w:val="22"/>
          <w:szCs w:val="22"/>
        </w:rPr>
        <w:t xml:space="preserve">☐  </w:t>
      </w:r>
      <w:r>
        <w:rPr>
          <w:color w:val="2C1810"/>
          <w:sz w:val="22"/>
          <w:szCs w:val="22"/>
        </w:rPr>
        <w:t xml:space="preserve">Handwash / sanitizer available at service points as required.</w:t>
      </w:r>
    </w:p>
    <w:p>
      <w:pPr>
        <w:spacing w:after="80"/>
      </w:pPr>
      <w:r>
        <w:rPr>
          <w:color w:val="2C1810"/>
          <w:sz w:val="22"/>
          <w:szCs w:val="22"/>
        </w:rPr>
        <w:t xml:space="preserve">☐  </w:t>
      </w:r>
      <w:r>
        <w:rPr>
          <w:color w:val="2C1810"/>
          <w:sz w:val="22"/>
          <w:szCs w:val="22"/>
        </w:rPr>
        <w:t xml:space="preserve">Buffet/hot wells within temperature; logged if used.</w:t>
      </w:r>
    </w:p>
    <w:p>
      <w:pPr>
        <w:spacing w:after="80"/>
      </w:pPr>
      <w:r>
        <w:rPr>
          <w:color w:val="2C1810"/>
          <w:sz w:val="22"/>
          <w:szCs w:val="22"/>
        </w:rPr>
        <w:t xml:space="preserve">☐  </w:t>
      </w:r>
      <w:r>
        <w:rPr>
          <w:color w:val="2C1810"/>
          <w:sz w:val="22"/>
          <w:szCs w:val="22"/>
        </w:rPr>
        <w:t xml:space="preserve">Serviceware clean; cracked crockery removed.</w:t>
      </w:r>
    </w:p>
    <w:p>
      <w:pPr>
        <w:spacing w:after="80"/>
      </w:pPr>
      <w:r>
        <w:rPr>
          <w:color w:val="2C1810"/>
          <w:sz w:val="22"/>
          <w:szCs w:val="22"/>
        </w:rPr>
        <w:t xml:space="preserve">☐  </w:t>
      </w:r>
      <w:r>
        <w:rPr>
          <w:color w:val="2C1810"/>
          <w:sz w:val="22"/>
          <w:szCs w:val="22"/>
        </w:rPr>
        <w:t xml:space="preserve">Chemicals and cleaning cloths not stored with food.</w:t>
      </w:r>
    </w:p>
    <w:p>
      <w:pPr>
        <w:spacing w:after="80"/>
      </w:pPr>
      <w:r>
        <w:rPr>
          <w:color w:val="2C1810"/>
          <w:sz w:val="22"/>
          <w:szCs w:val="22"/>
        </w:rPr>
        <w:t xml:space="preserve">☐  </w:t>
      </w:r>
      <w:r>
        <w:rPr>
          <w:color w:val="2C1810"/>
          <w:sz w:val="22"/>
          <w:szCs w:val="22"/>
        </w:rPr>
        <w:t xml:space="preserve">Waste cleared; no pest attractants in outlet.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55555"/>
        <w:sz w:val="16"/>
        <w:szCs w:val="16"/>
      </w:rPr>
      <w:t xml:space="preserve">Confidential — for internal use and BAFRA inspection  |  Page </w:t>
    </w:r>
    <w:r>
      <w:rPr>
        <w:color w:val="55555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6B2D3C" w:sz="6" w:space="8"/>
      </w:pBdr>
    </w:pPr>
    <w:r>
      <w:rPr>
        <w:color w:val="555555"/>
        <w:sz w:val="16"/>
        <w:szCs w:val="16"/>
      </w:rPr>
      <w:t xml:space="preserve">Pelbu Suites  |  BAFRA Compliance  |  F&amp;B Service (Restaurant / Café / Bar)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2026-09-14T07:13:19.379Z</dcterms:created>
  <dcterms:modified xsi:type="dcterms:W3CDTF">2026-09-14T07:13:19.379Z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