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6B2D3C"/>
          <w:sz w:val="36"/>
          <w:szCs w:val="36"/>
        </w:rPr>
        <w:t xml:space="preserve">Pelbu Suites</w:t>
      </w:r>
    </w:p>
    <w:p>
      <w:pPr>
        <w:spacing w:after="40"/>
        <w:jc w:val="center"/>
      </w:pPr>
      <w:r>
        <w:rPr>
          <w:b/>
          <w:bCs/>
          <w:color w:val="2C1810"/>
          <w:sz w:val="26"/>
          <w:szCs w:val="26"/>
        </w:rPr>
        <w:t xml:space="preserve">BAFRA Hotel Compliance and SOP Manual</w:t>
      </w:r>
    </w:p>
    <w:p>
      <w:pPr>
        <w:spacing w:after="200"/>
        <w:jc w:val="center"/>
      </w:pPr>
      <w:r>
        <w:rPr>
          <w:i/>
          <w:iCs/>
          <w:color w:val="555555"/>
          <w:sz w:val="24"/>
          <w:szCs w:val="24"/>
        </w:rPr>
        <w:t xml:space="preserve">Department Manual — Mandatory Records Pack (Clause 8.13)</w:t>
      </w:r>
    </w:p>
    <w:p>
      <w:pPr>
        <w:spacing w:after="80"/>
      </w:pPr>
      <w:r>
        <w:rPr>
          <w:b/>
          <w:bCs/>
          <w:color w:val="2C1810"/>
          <w:sz w:val="22"/>
          <w:szCs w:val="22"/>
        </w:rPr>
        <w:t xml:space="preserve">Regulatory authority: </w:t>
      </w:r>
      <w:r>
        <w:rPr>
          <w:color w:val="2C1810"/>
          <w:sz w:val="22"/>
          <w:szCs w:val="22"/>
        </w:rPr>
        <w:t xml:space="preserve">Bhutan Agriculture and Food Regulatory Authority (BAFRA)</w:t>
      </w:r>
    </w:p>
    <w:p>
      <w:pPr>
        <w:spacing w:after="80"/>
      </w:pPr>
      <w:r>
        <w:rPr>
          <w:b/>
          <w:bCs/>
          <w:color w:val="2C1810"/>
          <w:sz w:val="22"/>
          <w:szCs w:val="22"/>
        </w:rPr>
        <w:t xml:space="preserve">Property: </w:t>
      </w:r>
      <w:r>
        <w:rPr>
          <w:color w:val="2C1810"/>
          <w:sz w:val="22"/>
          <w:szCs w:val="22"/>
        </w:rPr>
        <w:t xml:space="preserve">Pelbu Suites</w:t>
      </w:r>
    </w:p>
    <w:p>
      <w:pPr>
        <w:spacing w:after="80"/>
      </w:pPr>
      <w:r>
        <w:rPr>
          <w:b/>
          <w:bCs/>
          <w:color w:val="2C1810"/>
          <w:sz w:val="22"/>
          <w:szCs w:val="22"/>
        </w:rPr>
        <w:t xml:space="preserve">Department: </w:t>
      </w:r>
      <w:r>
        <w:rPr>
          <w:color w:val="2C1810"/>
          <w:sz w:val="22"/>
          <w:szCs w:val="22"/>
        </w:rPr>
        <w:t xml:space="preserve">Mandatory Records Pack (Clause 8.13)</w:t>
      </w:r>
    </w:p>
    <w:p>
      <w:pPr>
        <w:spacing w:after="80"/>
      </w:pPr>
      <w:r>
        <w:rPr>
          <w:b/>
          <w:bCs/>
          <w:color w:val="2C1810"/>
          <w:sz w:val="22"/>
          <w:szCs w:val="22"/>
        </w:rPr>
        <w:t xml:space="preserve">Document type: </w:t>
      </w:r>
      <w:r>
        <w:rPr>
          <w:color w:val="2C1810"/>
          <w:sz w:val="22"/>
          <w:szCs w:val="22"/>
        </w:rPr>
        <w:t xml:space="preserve">Department SOP, logbooks &amp; compliance pack</w:t>
      </w:r>
    </w:p>
    <w:p>
      <w:pPr>
        <w:spacing w:after="80"/>
      </w:pPr>
      <w:r>
        <w:rPr>
          <w:b/>
          <w:bCs/>
          <w:color w:val="2C1810"/>
          <w:sz w:val="22"/>
          <w:szCs w:val="22"/>
        </w:rPr>
        <w:t xml:space="preserve">Review cycle: </w:t>
      </w:r>
      <w:r>
        <w:rPr>
          <w:color w:val="2C1810"/>
          <w:sz w:val="22"/>
          <w:szCs w:val="22"/>
        </w:rPr>
        <w:t xml:space="preserve">Annual, or after any BAFRA inspection finding</w:t>
      </w:r>
    </w:p>
    <w:p>
      <w:pPr>
        <w:spacing w:after="200"/>
      </w:pPr>
    </w:p>
    <w:p>
      <w:pPr>
        <w:pStyle w:val="Heading1"/>
        <w:spacing w:after="160" w:before="240"/>
      </w:pPr>
      <w:r>
        <w:rPr>
          <w:b/>
          <w:bCs/>
          <w:color w:val="6B2D3C"/>
        </w:rPr>
        <w:t xml:space="preserve">1. Why this pack exists</w:t>
      </w:r>
    </w:p>
    <w:p>
      <w:pPr>
        <w:spacing w:after="120"/>
      </w:pPr>
      <w:r>
        <w:rPr>
          <w:color w:val="2C1810"/>
          <w:sz w:val="22"/>
          <w:szCs w:val="22"/>
        </w:rPr>
        <w:t xml:space="preserve">BAFRA requires the food business to maintain appropriate records of processing, production and distribution and retain them for at least one year exceeding the shelf life of the product. This pack provides blank log templates mapped to each minimum process.</w:t>
      </w:r>
    </w:p>
    <w:p>
      <w:pPr>
        <w:pStyle w:val="Heading1"/>
        <w:spacing w:after="160" w:before="240"/>
      </w:pPr>
      <w:r>
        <w:rPr>
          <w:b/>
          <w:bCs/>
          <w:color w:val="6B2D3C"/>
        </w:rPr>
        <w:t xml:space="preserve">2. Record retention rule</w:t>
      </w:r>
    </w:p>
    <w:p>
      <w:pPr>
        <w:pStyle w:val="ListParagraph"/>
        <w:numPr>
          <w:ilvl w:val="0"/>
          <w:numId w:val="2"/>
        </w:numPr>
        <w:spacing w:after="60"/>
      </w:pPr>
      <w:r>
        <w:rPr>
          <w:color w:val="2C1810"/>
          <w:sz w:val="22"/>
          <w:szCs w:val="22"/>
        </w:rPr>
        <w:t xml:space="preserve">Retain each completed log for a minimum of 1 year beyond the shelf life of the related product/batch.</w:t>
      </w:r>
    </w:p>
    <w:p>
      <w:pPr>
        <w:pStyle w:val="ListParagraph"/>
        <w:numPr>
          <w:ilvl w:val="0"/>
          <w:numId w:val="2"/>
        </w:numPr>
        <w:spacing w:after="60"/>
      </w:pPr>
      <w:r>
        <w:rPr>
          <w:color w:val="2C1810"/>
          <w:sz w:val="22"/>
          <w:szCs w:val="22"/>
        </w:rPr>
        <w:t xml:space="preserve">File by month; HOD signs weekly; GM samples monthly.</w:t>
      </w:r>
    </w:p>
    <w:p>
      <w:pPr>
        <w:pStyle w:val="Heading1"/>
        <w:spacing w:after="160" w:before="240"/>
      </w:pPr>
      <w:r>
        <w:rPr>
          <w:b/>
          <w:bCs/>
          <w:color w:val="6B2D3C"/>
        </w:rPr>
        <w:t xml:space="preserve">3. i) Incoming material checks — Stores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Item</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Supplier</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Vehicle OK?</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Temp °C</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Expiry</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Accept/Reject</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Initials</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4. ii) Inspection and test — Kitchen / Stores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Product / batch</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Check type</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Result</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Action</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Sign</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5. iii) Temperature and time — Kitchen / F&amp;B / Stores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Unit ID</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Time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AM °C</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PM °C</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In range?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Corrective action</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Signature</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Dish / batch</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Cook core °C</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Time reached</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Hot hold °C</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Cold hold °C</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Sign</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6. iv) Product recall &amp;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Product</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Batch / lot</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Supplier</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Qty</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Distributed to</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Recall action</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Sign</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7. v) Storage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Store area</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FIFO OK?</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Off floor?</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Segregation OK?</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Issues</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Sign</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8. vi) Cleaning and sanitation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Area / Equipment</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Agent used</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Frequency</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Time</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Cleaner sign</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Supervisor</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9. vii) Pest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Areas inspected</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Findings</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Corrective action</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Tech. signature</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Hotel sign</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10. viii) Medical and health status — HR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Staff name</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Dept</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Cert no.</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Issue</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Expiry</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Fit for food?</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HR sign</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11. ix) Training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Topic (SOP/hygiene)</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Attendees</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Trainer</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Dept</w:t>
            </w:r>
          </w:p>
        </w:tc>
        <w:tc>
          <w:tcPr>
            <w:tcW w:type="dxa" w:w="1500"/>
            <w:tcBorders>
              <w:top w:val="single" w:color="CCCCCC" w:sz="4"/>
              <w:left w:val="single" w:color="CCCCCC" w:sz="4"/>
              <w:bottom w:val="single" w:color="CCCCCC" w:sz="4"/>
              <w:right w:val="single" w:color="CCCCCC" w:sz="4"/>
            </w:tcBorders>
            <w:shd w:fill="F8F5F2"/>
          </w:tcPr>
          <w:p>
            <w:r>
              <w:rPr>
                <w:b/>
                <w:bCs/>
                <w:color w:val="2C1810"/>
                <w:sz w:val="18"/>
                <w:szCs w:val="18"/>
              </w:rPr>
              <w:t xml:space="preserve">Sign-off</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c>
          <w:tcPr>
            <w:tcW w:type="dxa" w:w="1500"/>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12. x) Calibration of equipment —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Equipment</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ID</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Standard used</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Reading</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Pass/Fail</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Next due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Sign</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13. xi) Complaint &amp; customer feedback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Guest / source</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Complaint</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Product linked?</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Action</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Closed?</w:t>
            </w:r>
          </w:p>
        </w:tc>
        <w:tc>
          <w:tcPr>
            <w:tcW w:type="dxa" w:w="1285"/>
            <w:tcBorders>
              <w:top w:val="single" w:color="CCCCCC" w:sz="4"/>
              <w:left w:val="single" w:color="CCCCCC" w:sz="4"/>
              <w:bottom w:val="single" w:color="CCCCCC" w:sz="4"/>
              <w:right w:val="single" w:color="CCCCCC" w:sz="4"/>
            </w:tcBorders>
            <w:shd w:fill="F8F5F2"/>
          </w:tcPr>
          <w:p>
            <w:r>
              <w:rPr>
                <w:b/>
                <w:bCs/>
                <w:color w:val="2C1810"/>
                <w:sz w:val="18"/>
                <w:szCs w:val="18"/>
              </w:rPr>
              <w:t xml:space="preserve">Sign</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c>
          <w:tcPr>
            <w:tcW w:type="dxa" w:w="128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14. xii) Corrective &amp; preventive action (CAPA)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Date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Finding</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Root cause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Corrective action</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Preventive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Owner</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Due</w:t>
            </w:r>
          </w:p>
        </w:tc>
        <w:tc>
          <w:tcPr>
            <w:tcW w:type="dxa" w:w="1125"/>
            <w:tcBorders>
              <w:top w:val="single" w:color="CCCCCC" w:sz="4"/>
              <w:left w:val="single" w:color="CCCCCC" w:sz="4"/>
              <w:bottom w:val="single" w:color="CCCCCC" w:sz="4"/>
              <w:right w:val="single" w:color="CCCCCC" w:sz="4"/>
            </w:tcBorders>
            <w:shd w:fill="F8F5F2"/>
          </w:tcPr>
          <w:p>
            <w:r>
              <w:rPr>
                <w:b/>
                <w:bCs/>
                <w:color w:val="2C1810"/>
                <w:sz w:val="18"/>
                <w:szCs w:val="18"/>
              </w:rPr>
              <w:t xml:space="preserve">Closed</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r>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c>
          <w:tcPr>
            <w:tcW w:type="dxa" w:w="1125"/>
            <w:tcBorders>
              <w:top w:val="single" w:color="CCCCCC" w:sz="4"/>
              <w:left w:val="single" w:color="CCCCCC" w:sz="4"/>
              <w:bottom w:val="single" w:color="CCCCCC" w:sz="4"/>
              <w:right w:val="single" w:color="CCCCCC" w:sz="4"/>
            </w:tcBorders>
          </w:tcPr>
          <w:p>
            <w:r>
              <w:rPr>
                <w:sz w:val="18"/>
                <w:szCs w:val="18"/>
              </w:rPr>
              <w:t xml:space="preserve"> </w:t>
            </w:r>
          </w:p>
        </w:tc>
      </w:tr>
    </w:tbl>
    <w:p>
      <w:pPr>
        <w:pStyle w:val="Heading1"/>
        <w:spacing w:after="160" w:before="240"/>
      </w:pPr>
      <w:r>
        <w:rPr>
          <w:b/>
          <w:bCs/>
          <w:color w:val="6B2D3C"/>
        </w:rPr>
        <w:t xml:space="preserve">15. xiii) Emergency preparedness — plan reference</w:t>
      </w:r>
    </w:p>
    <w:p>
      <w:pPr>
        <w:pStyle w:val="ListParagraph"/>
        <w:numPr>
          <w:ilvl w:val="0"/>
          <w:numId w:val="2"/>
        </w:numPr>
        <w:spacing w:after="60"/>
      </w:pPr>
      <w:r>
        <w:rPr>
          <w:color w:val="2C1810"/>
          <w:sz w:val="22"/>
          <w:szCs w:val="22"/>
        </w:rPr>
        <w:t xml:space="preserve">Fire / evacuation — hotel emergency plan (Management).</w:t>
      </w:r>
    </w:p>
    <w:p>
      <w:pPr>
        <w:pStyle w:val="ListParagraph"/>
        <w:numPr>
          <w:ilvl w:val="0"/>
          <w:numId w:val="2"/>
        </w:numPr>
        <w:spacing w:after="60"/>
      </w:pPr>
      <w:r>
        <w:rPr>
          <w:color w:val="2C1810"/>
          <w:sz w:val="22"/>
          <w:szCs w:val="22"/>
        </w:rPr>
        <w:t xml:space="preserve">Foodborne illness incident — isolate product, notify GM, medical support, retain sample if advised.</w:t>
      </w:r>
    </w:p>
    <w:p>
      <w:pPr>
        <w:pStyle w:val="ListParagraph"/>
        <w:numPr>
          <w:ilvl w:val="0"/>
          <w:numId w:val="2"/>
        </w:numPr>
        <w:spacing w:after="60"/>
      </w:pPr>
      <w:r>
        <w:rPr>
          <w:color w:val="2C1810"/>
          <w:sz w:val="22"/>
          <w:szCs w:val="22"/>
        </w:rPr>
        <w:t xml:space="preserve">Power failure affecting cold store — Engineering + Kitchen quarantine protocol.</w:t>
      </w:r>
    </w:p>
    <w:p>
      <w:pPr>
        <w:pStyle w:val="ListParagraph"/>
        <w:numPr>
          <w:ilvl w:val="0"/>
          <w:numId w:val="2"/>
        </w:numPr>
        <w:spacing w:after="60"/>
      </w:pPr>
      <w:r>
        <w:rPr>
          <w:color w:val="2C1810"/>
          <w:sz w:val="22"/>
          <w:szCs w:val="22"/>
        </w:rPr>
        <w:t xml:space="preserve">Water contamination — stop food prep using unsafe water; use tested alternate supply.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CCCCCC" w:sz="4"/>
              <w:left w:val="single" w:color="CCCCCC" w:sz="4"/>
              <w:bottom w:val="single" w:color="CCCCCC" w:sz="4"/>
              <w:right w:val="single" w:color="CCCCCC" w:sz="4"/>
            </w:tcBorders>
            <w:shd w:fill="F8F5F2"/>
          </w:tcPr>
          <w:p>
            <w:r>
              <w:rPr>
                <w:b/>
                <w:bCs/>
                <w:color w:val="2C1810"/>
                <w:sz w:val="18"/>
                <w:szCs w:val="18"/>
              </w:rPr>
              <w:t xml:space="preserve">Date of drill/incident</w:t>
            </w:r>
          </w:p>
        </w:tc>
        <w:tc>
          <w:tcPr>
            <w:tcW w:type="dxa" w:w="1800"/>
            <w:tcBorders>
              <w:top w:val="single" w:color="CCCCCC" w:sz="4"/>
              <w:left w:val="single" w:color="CCCCCC" w:sz="4"/>
              <w:bottom w:val="single" w:color="CCCCCC" w:sz="4"/>
              <w:right w:val="single" w:color="CCCCCC" w:sz="4"/>
            </w:tcBorders>
            <w:shd w:fill="F8F5F2"/>
          </w:tcPr>
          <w:p>
            <w:r>
              <w:rPr>
                <w:b/>
                <w:bCs/>
                <w:color w:val="2C1810"/>
                <w:sz w:val="18"/>
                <w:szCs w:val="18"/>
              </w:rPr>
              <w:t xml:space="preserve">Type</w:t>
            </w:r>
          </w:p>
        </w:tc>
        <w:tc>
          <w:tcPr>
            <w:tcW w:type="dxa" w:w="1800"/>
            <w:tcBorders>
              <w:top w:val="single" w:color="CCCCCC" w:sz="4"/>
              <w:left w:val="single" w:color="CCCCCC" w:sz="4"/>
              <w:bottom w:val="single" w:color="CCCCCC" w:sz="4"/>
              <w:right w:val="single" w:color="CCCCCC" w:sz="4"/>
            </w:tcBorders>
            <w:shd w:fill="F8F5F2"/>
          </w:tcPr>
          <w:p>
            <w:r>
              <w:rPr>
                <w:b/>
                <w:bCs/>
                <w:color w:val="2C1810"/>
                <w:sz w:val="18"/>
                <w:szCs w:val="18"/>
              </w:rPr>
              <w:t xml:space="preserve">Actions taken</w:t>
            </w:r>
          </w:p>
        </w:tc>
        <w:tc>
          <w:tcPr>
            <w:tcW w:type="dxa" w:w="1800"/>
            <w:tcBorders>
              <w:top w:val="single" w:color="CCCCCC" w:sz="4"/>
              <w:left w:val="single" w:color="CCCCCC" w:sz="4"/>
              <w:bottom w:val="single" w:color="CCCCCC" w:sz="4"/>
              <w:right w:val="single" w:color="CCCCCC" w:sz="4"/>
            </w:tcBorders>
            <w:shd w:fill="F8F5F2"/>
          </w:tcPr>
          <w:p>
            <w:r>
              <w:rPr>
                <w:b/>
                <w:bCs/>
                <w:color w:val="2C1810"/>
                <w:sz w:val="18"/>
                <w:szCs w:val="18"/>
              </w:rPr>
              <w:t xml:space="preserve">Lessons</w:t>
            </w:r>
          </w:p>
        </w:tc>
        <w:tc>
          <w:tcPr>
            <w:tcW w:type="dxa" w:w="1800"/>
            <w:tcBorders>
              <w:top w:val="single" w:color="CCCCCC" w:sz="4"/>
              <w:left w:val="single" w:color="CCCCCC" w:sz="4"/>
              <w:bottom w:val="single" w:color="CCCCCC" w:sz="4"/>
              <w:right w:val="single" w:color="CCCCCC" w:sz="4"/>
            </w:tcBorders>
            <w:shd w:fill="F8F5F2"/>
          </w:tcPr>
          <w:p>
            <w:r>
              <w:rPr>
                <w:b/>
                <w:bCs/>
                <w:color w:val="2C1810"/>
                <w:sz w:val="18"/>
                <w:szCs w:val="18"/>
              </w:rPr>
              <w:t xml:space="preserve">GM sign</w:t>
            </w:r>
          </w:p>
        </w:tc>
      </w:tr>
      <w:tr>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r>
      <w:tr>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c>
          <w:tcPr>
            <w:tcW w:type="dxa" w:w="1800"/>
            <w:tcBorders>
              <w:top w:val="single" w:color="CCCCCC" w:sz="4"/>
              <w:left w:val="single" w:color="CCCCCC" w:sz="4"/>
              <w:bottom w:val="single" w:color="CCCCCC" w:sz="4"/>
              <w:right w:val="single" w:color="CCCCCC" w:sz="4"/>
            </w:tcBorders>
          </w:tcPr>
          <w:p>
            <w:r>
              <w:rPr>
                <w:sz w:val="18"/>
                <w:szCs w:val="18"/>
              </w:rPr>
              <w:t xml:space="preserve"> </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for internal use and BAFRA inspection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D3C" w:sz="6" w:space="8"/>
      </w:pBdr>
    </w:pPr>
    <w:r>
      <w:rPr>
        <w:color w:val="555555"/>
        <w:sz w:val="16"/>
        <w:szCs w:val="16"/>
      </w:rPr>
      <w:t xml:space="preserve">Pelbu Suites  |  BAFRA Compliance  |  Mandatory Records Pack (Clause 8.13)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2026-09-14T07:13:19.519Z</dcterms:created>
  <dcterms:modified xsi:type="dcterms:W3CDTF">2026-09-14T07:13:19.519Z</dcterms:modified>
</cp:coreProperties>
</file>

<file path=docProps/custom.xml><?xml version="1.0" encoding="utf-8"?>
<Properties xmlns="http://schemas.openxmlformats.org/officeDocument/2006/custom-properties" xmlns:vt="http://schemas.openxmlformats.org/officeDocument/2006/docPropsVTypes"/>
</file>