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/>
        <w:jc w:val="center"/>
      </w:pPr>
      <w:r>
        <w:rPr>
          <w:rFonts w:ascii="Amiri" w:cs="Amiri" w:eastAsia="Amiri" w:hAnsi="Amiri"/>
          <w:color w:val="9A7B23"/>
          <w:sz w:val="18"/>
          <w:szCs w:val="18"/>
          <w:rtl/>
        </w:rPr>
        <w:t xml:space="preserve">مَطبعةُ جُذور · دبي · MCMXXVI</w:t>
      </w:r>
    </w:p>
    <w:p>
      <w:pPr>
        <w:pStyle w:val="Heading1"/>
        <w:bidi/>
        <w:spacing w:after="160" w:before="300"/>
        <w:jc w:val="right"/>
      </w:pPr>
      <w:r>
        <w:rPr>
          <w:rFonts w:ascii="Amiri" w:cs="Amiri" w:eastAsia="Amiri" w:hAnsi="Amiri"/>
          <w:b/>
          <w:bCs/>
          <w:color w:val="1B3A2F"/>
          <w:sz w:val="34"/>
          <w:szCs w:val="34"/>
          <w:rtl/>
        </w:rPr>
        <w:t xml:space="preserve">العَشْرُ اليَومِيَّة</w:t>
      </w:r>
    </w:p>
    <w:p>
      <w:pPr>
        <w:spacing w:after="200"/>
        <w:jc w:val="center"/>
      </w:pPr>
      <w:r>
        <w:rPr>
          <w:rFonts w:ascii="EB Garamond" w:cs="EB Garamond" w:eastAsia="EB Garamond" w:hAnsi="EB Garamond"/>
          <w:i/>
          <w:iCs/>
          <w:color w:val="4A6459"/>
          <w:sz w:val="20"/>
          <w:szCs w:val="20"/>
        </w:rPr>
        <w:t xml:space="preserve">The Daily Ten — ten short routines for the reading classroom</w:t>
      </w:r>
    </w:p>
    <w:p>
      <w:pPr>
        <w:pBdr>
          <w:bottom w:val="single" w:color="D9CFB4" w:sz="6"/>
        </w:pBdr>
        <w:spacing w:after="200" w:before="120"/>
      </w:pPr>
    </w:p>
    <w:p>
      <w:pPr>
        <w:bidi/>
        <w:spacing w:after="140" w:line="400"/>
        <w:jc w:val="right"/>
      </w:pPr>
      <w:r>
        <w:rPr>
          <w:rFonts w:ascii="Amiri" w:cs="Amiri" w:eastAsia="Amiri" w:hAnsi="Amiri"/>
          <w:b w:val="false"/>
          <w:bCs w:val="false"/>
          <w:color w:val="1B3A2F"/>
          <w:sz w:val="24"/>
          <w:szCs w:val="24"/>
          <w:rtl/>
        </w:rPr>
        <w:t xml:space="preserve">عشرةُ روتينات، لا يزيد أطولُها على عشر دقائق، تُبنى بها عادةُ الانتباه قبل أن تُبنى عادةُ القراءة. تُؤخذ كلُّها في حصّةٍ واحدة أو تُفرَّق على الأسبوع؛ والترتيبُ مقترَحٌ لا مُلزِم.</w:t>
      </w:r>
    </w:p>
    <w:p>
      <w:pPr>
        <w:spacing w:after="120" w:line="300"/>
        <w:jc w:val="left"/>
      </w:pPr>
      <w:r>
        <w:rPr>
          <w:rFonts w:ascii="EB Garamond" w:cs="EB Garamond" w:eastAsia="EB Garamond" w:hAnsi="EB Garamond"/>
          <w:i w:val="false"/>
          <w:iCs w:val="false"/>
          <w:color w:val="4A6459"/>
          <w:sz w:val="20"/>
          <w:szCs w:val="20"/>
        </w:rPr>
        <w:t xml:space="preserve">Ten routines, none longer than ten minutes, that build the habit of attention before the habit of reading. Take them together or spread them across the week.</w:t>
      </w:r>
    </w:p>
    <w:p>
      <w:pPr>
        <w:pBdr>
          <w:bottom w:val="single" w:color="D9CFB4" w:sz="6"/>
        </w:pBdr>
        <w:spacing w:after="200" w:before="120"/>
      </w:pPr>
    </w:p>
    <w:p>
      <w:pPr>
        <w:pStyle w:val="Heading2"/>
        <w:bidi/>
        <w:spacing w:after="160" w:before="300"/>
        <w:jc w:val="right"/>
      </w:pPr>
      <w:r>
        <w:rPr>
          <w:rFonts w:ascii="Amiri" w:cs="Amiri" w:eastAsia="Amiri" w:hAnsi="Amiri"/>
          <w:b/>
          <w:bCs/>
          <w:color w:val="1B3A2F"/>
          <w:sz w:val="28"/>
          <w:szCs w:val="28"/>
          <w:rtl/>
        </w:rPr>
        <w:t xml:space="preserve">حَدُّ اللَّمس</w:t>
      </w:r>
    </w:p>
    <w:p>
      <w:pPr>
        <w:bidi/>
        <w:spacing w:after="140" w:line="400"/>
        <w:jc w:val="right"/>
      </w:pPr>
      <w:r>
        <w:rPr>
          <w:rFonts w:ascii="Amiri" w:cs="Amiri" w:eastAsia="Amiri" w:hAnsi="Amiri"/>
          <w:b w:val="false"/>
          <w:bCs w:val="false"/>
          <w:color w:val="1B3A2F"/>
          <w:sz w:val="24"/>
          <w:szCs w:val="24"/>
          <w:rtl/>
        </w:rPr>
        <w:t xml:space="preserve">كلُّ حركةٍ في هذه الصفحات يؤدّيها الطفلُ بنفسه. لا تلمس يدُ المعلّم أو المرافق جسدَ الطفل في أيّ روتينٍ منها. من احتاج مساعدةً، تُعطى بالكلام والنموذج لا باليد.</w:t>
      </w:r>
    </w:p>
    <w:p>
      <w:pPr>
        <w:spacing w:after="120" w:line="300"/>
        <w:jc w:val="left"/>
      </w:pPr>
      <w:r>
        <w:rPr>
          <w:rFonts w:ascii="EB Garamond" w:cs="EB Garamond" w:eastAsia="EB Garamond" w:hAnsi="EB Garamond"/>
          <w:i w:val="false"/>
          <w:iCs w:val="false"/>
          <w:color w:val="4A6459"/>
          <w:sz w:val="20"/>
          <w:szCs w:val="20"/>
        </w:rPr>
        <w:t xml:space="preserve">Touch boundary: every movement is performed by the child. No companion hand touches the child’s body. Help is given by word and by demonstration.</w:t>
      </w:r>
    </w:p>
    <w:p>
      <w:pPr>
        <w:pBdr>
          <w:bottom w:val="single" w:color="D9CFB4" w:sz="6"/>
        </w:pBdr>
        <w:spacing w:after="200" w:before="120"/>
      </w:pPr>
    </w:p>
    <w:p>
      <w:pPr>
        <w:pStyle w:val="Heading2"/>
        <w:bidi/>
        <w:spacing w:after="160" w:before="300"/>
        <w:jc w:val="right"/>
      </w:pPr>
      <w:r>
        <w:rPr>
          <w:rFonts w:ascii="Amiri" w:cs="Amiri" w:eastAsia="Amiri" w:hAnsi="Amiri"/>
          <w:b/>
          <w:bCs/>
          <w:color w:val="1B3A2F"/>
          <w:sz w:val="28"/>
          <w:szCs w:val="28"/>
          <w:rtl/>
        </w:rPr>
        <w:t xml:space="preserve">العَشْرُ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600"/>
        <w:gridCol w:w="1600"/>
        <w:gridCol w:w="1600"/>
      </w:tblGrid>
      <w:tr>
        <w:trPr>
          <w:tblHeader/>
        </w:trPr>
        <w:tc>
          <w:tcPr>
            <w:tcW w:type="dxa" w:w="1600"/>
            <w:shd w:fill="F0E9D6" w:val="clear"/>
          </w:tcPr>
          <w:p>
            <w:pPr>
              <w:bidi/>
              <w:spacing w:after="0" w:line="400"/>
              <w:jc w:val="center"/>
            </w:pPr>
            <w:r>
              <w:rPr>
                <w:rFonts w:ascii="Amiri" w:cs="Amiri" w:eastAsia="Amiri" w:hAnsi="Amiri"/>
                <w:b/>
                <w:bCs/>
                <w:color w:val="1B3A2F"/>
                <w:sz w:val="20"/>
                <w:szCs w:val="20"/>
                <w:rtl/>
              </w:rPr>
              <w:t xml:space="preserve">الروتين</w:t>
            </w:r>
          </w:p>
        </w:tc>
        <w:tc>
          <w:tcPr>
            <w:tcW w:type="dxa" w:w="4600"/>
            <w:shd w:fill="F0E9D6" w:val="clear"/>
          </w:tcPr>
          <w:p>
            <w:pPr>
              <w:bidi/>
              <w:spacing w:after="0" w:line="400"/>
              <w:jc w:val="center"/>
            </w:pPr>
            <w:r>
              <w:rPr>
                <w:rFonts w:ascii="Amiri" w:cs="Amiri" w:eastAsia="Amiri" w:hAnsi="Amiri"/>
                <w:b/>
                <w:bCs/>
                <w:color w:val="1B3A2F"/>
                <w:sz w:val="20"/>
                <w:szCs w:val="20"/>
                <w:rtl/>
              </w:rPr>
              <w:t xml:space="preserve">ما يفعله الطفل</w:t>
            </w:r>
          </w:p>
        </w:tc>
        <w:tc>
          <w:tcPr>
            <w:tcW w:type="dxa" w:w="1600"/>
            <w:shd w:fill="F0E9D6" w:val="clear"/>
          </w:tcPr>
          <w:p>
            <w:pPr>
              <w:bidi/>
              <w:spacing w:after="0" w:line="400"/>
              <w:jc w:val="center"/>
            </w:pPr>
            <w:r>
              <w:rPr>
                <w:rFonts w:ascii="Amiri" w:cs="Amiri" w:eastAsia="Amiri" w:hAnsi="Amiri"/>
                <w:b/>
                <w:bCs/>
                <w:color w:val="1B3A2F"/>
                <w:sz w:val="20"/>
                <w:szCs w:val="20"/>
                <w:rtl/>
              </w:rPr>
              <w:t xml:space="preserve">الزمن</w:t>
            </w:r>
          </w:p>
        </w:tc>
        <w:tc>
          <w:tcPr>
            <w:tcW w:type="dxa" w:w="1600"/>
            <w:shd w:fill="F0E9D6" w:val="clear"/>
          </w:tcPr>
          <w:p>
            <w:pPr>
              <w:bidi/>
              <w:spacing w:after="0" w:line="400"/>
              <w:jc w:val="center"/>
            </w:pPr>
            <w:r>
              <w:rPr>
                <w:rFonts w:ascii="Amiri" w:cs="Amiri" w:eastAsia="Amiri" w:hAnsi="Amiri"/>
                <w:b/>
                <w:bCs/>
                <w:color w:val="1B3A2F"/>
                <w:sz w:val="20"/>
                <w:szCs w:val="20"/>
                <w:rtl/>
              </w:rPr>
              <w:t xml:space="preserve">درجةُ الدليل</w:t>
            </w:r>
          </w:p>
        </w:tc>
      </w:tr>
      <w:tr>
        <w:tc>
          <w:tcPr>
            <w:tcW w:type="dxa" w:w="1600"/>
          </w:tcPr>
          <w:p>
            <w:pPr>
              <w:bidi/>
              <w:spacing w:after="0" w:line="400"/>
              <w:jc w:val="right"/>
            </w:pPr>
            <w:r>
              <w:rPr>
                <w:rFonts w:ascii="Amiri" w:cs="Amiri" w:eastAsia="Amiri" w:hAnsi="Amiri"/>
                <w:b/>
                <w:bCs/>
                <w:color w:val="1B3A2F"/>
                <w:sz w:val="20"/>
                <w:szCs w:val="20"/>
                <w:rtl/>
              </w:rPr>
              <w:t xml:space="preserve">١ — نَفَسُ البداية</w:t>
            </w:r>
          </w:p>
        </w:tc>
        <w:tc>
          <w:tcPr>
            <w:tcW w:type="dxa" w:w="4600"/>
          </w:tcPr>
          <w:p>
            <w:pPr>
              <w:bidi/>
              <w:spacing w:after="0" w:line="400"/>
              <w:jc w:val="right"/>
            </w:pPr>
            <w:r>
              <w:rPr>
                <w:rFonts w:ascii="Amiri" w:cs="Amiri" w:eastAsia="Amiri" w:hAnsi="Amiri"/>
                <w:b w:val="false"/>
                <w:bCs w:val="false"/>
                <w:color w:val="1B3A2F"/>
                <w:sz w:val="20"/>
                <w:szCs w:val="20"/>
                <w:rtl/>
              </w:rPr>
              <w:t xml:space="preserve">ثلاثُ أنفاسٍ بطيئة قبل فتح الكتاب: شهيقٌ في أربع، حبسٌ في اثنتين، زفيرٌ في ستّ. يجلس الطفل مستويًا وكفّاه على الطاولة.</w:t>
            </w:r>
          </w:p>
          <w:p>
            <w:pPr>
              <w:spacing w:after="0" w:line="300"/>
              <w:jc w:val="left"/>
            </w:pPr>
            <w:r>
              <w:rPr>
                <w:rFonts w:ascii="EB Garamond" w:cs="EB Garamond" w:eastAsia="EB Garamond" w:hAnsi="EB Garamond"/>
                <w:i/>
                <w:iCs/>
                <w:color w:val="4A6459"/>
                <w:sz w:val="16"/>
                <w:szCs w:val="16"/>
              </w:rPr>
              <w:t xml:space="preserve">Opening Breath — three slow breaths before the book opens.</w:t>
            </w:r>
          </w:p>
        </w:tc>
        <w:tc>
          <w:tcPr>
            <w:tcW w:type="dxa" w:w="1600"/>
          </w:tcPr>
          <w:p>
            <w:pPr>
              <w:bidi/>
              <w:spacing w:after="0" w:line="400"/>
              <w:jc w:val="center"/>
            </w:pPr>
            <w:r>
              <w:rPr>
                <w:rFonts w:ascii="Amiri" w:cs="Amiri" w:eastAsia="Amiri" w:hAnsi="Amiri"/>
                <w:b w:val="false"/>
                <w:bCs w:val="false"/>
                <w:color w:val="1B3A2F"/>
                <w:sz w:val="20"/>
                <w:szCs w:val="20"/>
                <w:rtl/>
              </w:rPr>
              <w:t xml:space="preserve">دقيقتان</w:t>
            </w:r>
          </w:p>
        </w:tc>
        <w:tc>
          <w:tcPr>
            <w:tcW w:type="dxa" w:w="1600"/>
          </w:tcPr>
          <w:p>
            <w:pPr>
              <w:bidi/>
              <w:spacing w:after="0" w:line="400"/>
              <w:jc w:val="center"/>
            </w:pPr>
            <w:r>
              <w:rPr>
                <w:rFonts w:ascii="Amiri" w:cs="Amiri" w:eastAsia="Amiri" w:hAnsi="Amiri"/>
                <w:b w:val="false"/>
                <w:bCs w:val="false"/>
                <w:color w:val="9A7B23"/>
                <w:sz w:val="20"/>
                <w:szCs w:val="20"/>
                <w:rtl/>
              </w:rPr>
              <w:t xml:space="preserve">متوسّطة</w:t>
            </w:r>
          </w:p>
        </w:tc>
      </w:tr>
      <w:tr>
        <w:tc>
          <w:tcPr>
            <w:tcW w:type="dxa" w:w="1600"/>
          </w:tcPr>
          <w:p>
            <w:pPr>
              <w:bidi/>
              <w:spacing w:after="0" w:line="400"/>
              <w:jc w:val="right"/>
            </w:pPr>
            <w:r>
              <w:rPr>
                <w:rFonts w:ascii="Amiri" w:cs="Amiri" w:eastAsia="Amiri" w:hAnsi="Amiri"/>
                <w:b/>
                <w:bCs/>
                <w:color w:val="1B3A2F"/>
                <w:sz w:val="20"/>
                <w:szCs w:val="20"/>
                <w:rtl/>
              </w:rPr>
              <w:t xml:space="preserve">٢ — مَسُّ الحرف</w:t>
            </w:r>
          </w:p>
        </w:tc>
        <w:tc>
          <w:tcPr>
            <w:tcW w:type="dxa" w:w="4600"/>
          </w:tcPr>
          <w:p>
            <w:pPr>
              <w:bidi/>
              <w:spacing w:after="0" w:line="400"/>
              <w:jc w:val="right"/>
            </w:pPr>
            <w:r>
              <w:rPr>
                <w:rFonts w:ascii="Amiri" w:cs="Amiri" w:eastAsia="Amiri" w:hAnsi="Amiri"/>
                <w:b w:val="false"/>
                <w:bCs w:val="false"/>
                <w:color w:val="1B3A2F"/>
                <w:sz w:val="20"/>
                <w:szCs w:val="20"/>
                <w:rtl/>
              </w:rPr>
              <w:t xml:space="preserve">يتتبّع الطفل حرفًا بارزًا أو غائرًا بإصبعه ثلاث مرّات، وعينُه مغلقة في المرّة الثالثة، ثم يسمّيه.</w:t>
            </w:r>
          </w:p>
          <w:p>
            <w:pPr>
              <w:spacing w:after="0" w:line="300"/>
              <w:jc w:val="left"/>
            </w:pPr>
            <w:r>
              <w:rPr>
                <w:rFonts w:ascii="EB Garamond" w:cs="EB Garamond" w:eastAsia="EB Garamond" w:hAnsi="EB Garamond"/>
                <w:i/>
                <w:iCs/>
                <w:color w:val="4A6459"/>
                <w:sz w:val="16"/>
                <w:szCs w:val="16"/>
              </w:rPr>
              <w:t xml:space="preserve">Tracing the Letter — finger-trace three times, eyes closed on the third.</w:t>
            </w:r>
          </w:p>
        </w:tc>
        <w:tc>
          <w:tcPr>
            <w:tcW w:type="dxa" w:w="1600"/>
          </w:tcPr>
          <w:p>
            <w:pPr>
              <w:bidi/>
              <w:spacing w:after="0" w:line="400"/>
              <w:jc w:val="center"/>
            </w:pPr>
            <w:r>
              <w:rPr>
                <w:rFonts w:ascii="Amiri" w:cs="Amiri" w:eastAsia="Amiri" w:hAnsi="Amiri"/>
                <w:b w:val="false"/>
                <w:bCs w:val="false"/>
                <w:color w:val="1B3A2F"/>
                <w:sz w:val="20"/>
                <w:szCs w:val="20"/>
                <w:rtl/>
              </w:rPr>
              <w:t xml:space="preserve">ثلاث دقائق</w:t>
            </w:r>
          </w:p>
        </w:tc>
        <w:tc>
          <w:tcPr>
            <w:tcW w:type="dxa" w:w="1600"/>
          </w:tcPr>
          <w:p>
            <w:pPr>
              <w:bidi/>
              <w:spacing w:after="0" w:line="400"/>
              <w:jc w:val="center"/>
            </w:pPr>
            <w:r>
              <w:rPr>
                <w:rFonts w:ascii="Amiri" w:cs="Amiri" w:eastAsia="Amiri" w:hAnsi="Amiri"/>
                <w:b w:val="false"/>
                <w:bCs w:val="false"/>
                <w:color w:val="9A7B23"/>
                <w:sz w:val="20"/>
                <w:szCs w:val="20"/>
                <w:rtl/>
              </w:rPr>
              <w:t xml:space="preserve">متوسّطة</w:t>
            </w:r>
          </w:p>
        </w:tc>
      </w:tr>
      <w:tr>
        <w:tc>
          <w:tcPr>
            <w:tcW w:type="dxa" w:w="1600"/>
          </w:tcPr>
          <w:p>
            <w:pPr>
              <w:bidi/>
              <w:spacing w:after="0" w:line="400"/>
              <w:jc w:val="right"/>
            </w:pPr>
            <w:r>
              <w:rPr>
                <w:rFonts w:ascii="Amiri" w:cs="Amiri" w:eastAsia="Amiri" w:hAnsi="Amiri"/>
                <w:b/>
                <w:bCs/>
                <w:color w:val="1B3A2F"/>
                <w:sz w:val="20"/>
                <w:szCs w:val="20"/>
                <w:rtl/>
              </w:rPr>
              <w:t xml:space="preserve">٣ — صوتٌ ومَخرج</w:t>
            </w:r>
          </w:p>
        </w:tc>
        <w:tc>
          <w:tcPr>
            <w:tcW w:type="dxa" w:w="4600"/>
          </w:tcPr>
          <w:p>
            <w:pPr>
              <w:bidi/>
              <w:spacing w:after="0" w:line="400"/>
              <w:jc w:val="right"/>
            </w:pPr>
            <w:r>
              <w:rPr>
                <w:rFonts w:ascii="Amiri" w:cs="Amiri" w:eastAsia="Amiri" w:hAnsi="Amiri"/>
                <w:b w:val="false"/>
                <w:bCs w:val="false"/>
                <w:color w:val="1B3A2F"/>
                <w:sz w:val="20"/>
                <w:szCs w:val="20"/>
                <w:rtl/>
              </w:rPr>
              <w:t xml:space="preserve">ينطق الطفل الحرف ويدُه على حنجرته أو شفتيه، ويقول أين أحسّ الحركة.</w:t>
            </w:r>
          </w:p>
          <w:p>
            <w:pPr>
              <w:spacing w:after="0" w:line="300"/>
              <w:jc w:val="left"/>
            </w:pPr>
            <w:r>
              <w:rPr>
                <w:rFonts w:ascii="EB Garamond" w:cs="EB Garamond" w:eastAsia="EB Garamond" w:hAnsi="EB Garamond"/>
                <w:i/>
                <w:iCs/>
                <w:color w:val="4A6459"/>
                <w:sz w:val="16"/>
                <w:szCs w:val="16"/>
              </w:rPr>
              <w:t xml:space="preserve">Sound and Place — hand on throat or lips while articulating.</w:t>
            </w:r>
          </w:p>
        </w:tc>
        <w:tc>
          <w:tcPr>
            <w:tcW w:type="dxa" w:w="1600"/>
          </w:tcPr>
          <w:p>
            <w:pPr>
              <w:bidi/>
              <w:spacing w:after="0" w:line="400"/>
              <w:jc w:val="center"/>
            </w:pPr>
            <w:r>
              <w:rPr>
                <w:rFonts w:ascii="Amiri" w:cs="Amiri" w:eastAsia="Amiri" w:hAnsi="Amiri"/>
                <w:b w:val="false"/>
                <w:bCs w:val="false"/>
                <w:color w:val="1B3A2F"/>
                <w:sz w:val="20"/>
                <w:szCs w:val="20"/>
                <w:rtl/>
              </w:rPr>
              <w:t xml:space="preserve">دقيقتان</w:t>
            </w:r>
          </w:p>
        </w:tc>
        <w:tc>
          <w:tcPr>
            <w:tcW w:type="dxa" w:w="1600"/>
          </w:tcPr>
          <w:p>
            <w:pPr>
              <w:bidi/>
              <w:spacing w:after="0" w:line="400"/>
              <w:jc w:val="center"/>
            </w:pPr>
            <w:r>
              <w:rPr>
                <w:rFonts w:ascii="Amiri" w:cs="Amiri" w:eastAsia="Amiri" w:hAnsi="Amiri"/>
                <w:b w:val="false"/>
                <w:bCs w:val="false"/>
                <w:color w:val="9A7B23"/>
                <w:sz w:val="20"/>
                <w:szCs w:val="20"/>
                <w:rtl/>
              </w:rPr>
              <w:t xml:space="preserve">متوسّطة</w:t>
            </w:r>
          </w:p>
        </w:tc>
      </w:tr>
      <w:tr>
        <w:tc>
          <w:tcPr>
            <w:tcW w:type="dxa" w:w="1600"/>
          </w:tcPr>
          <w:p>
            <w:pPr>
              <w:bidi/>
              <w:spacing w:after="0" w:line="400"/>
              <w:jc w:val="right"/>
            </w:pPr>
            <w:r>
              <w:rPr>
                <w:rFonts w:ascii="Amiri" w:cs="Amiri" w:eastAsia="Amiri" w:hAnsi="Amiri"/>
                <w:b/>
                <w:bCs/>
                <w:color w:val="1B3A2F"/>
                <w:sz w:val="20"/>
                <w:szCs w:val="20"/>
                <w:rtl/>
              </w:rPr>
              <w:t xml:space="preserve">٤ — وقفةُ الظِّل</w:t>
            </w:r>
          </w:p>
        </w:tc>
        <w:tc>
          <w:tcPr>
            <w:tcW w:type="dxa" w:w="4600"/>
          </w:tcPr>
          <w:p>
            <w:pPr>
              <w:bidi/>
              <w:spacing w:after="0" w:line="400"/>
              <w:jc w:val="right"/>
            </w:pPr>
            <w:r>
              <w:rPr>
                <w:rFonts w:ascii="Amiri" w:cs="Amiri" w:eastAsia="Amiri" w:hAnsi="Amiri"/>
                <w:b w:val="false"/>
                <w:bCs w:val="false"/>
                <w:color w:val="1B3A2F"/>
                <w:sz w:val="20"/>
                <w:szCs w:val="20"/>
                <w:rtl/>
              </w:rPr>
              <w:t xml:space="preserve">ينظر الطفل بعيدًا عن الصفحة عشرين ثانية إلى أبعد شيءٍ في الغرفة، ثم يعود.</w:t>
            </w:r>
          </w:p>
          <w:p>
            <w:pPr>
              <w:spacing w:after="0" w:line="300"/>
              <w:jc w:val="left"/>
            </w:pPr>
            <w:r>
              <w:rPr>
                <w:rFonts w:ascii="EB Garamond" w:cs="EB Garamond" w:eastAsia="EB Garamond" w:hAnsi="EB Garamond"/>
                <w:i/>
                <w:iCs/>
                <w:color w:val="4A6459"/>
                <w:sz w:val="16"/>
                <w:szCs w:val="16"/>
              </w:rPr>
              <w:t xml:space="preserve">The Shadow Pause — twenty seconds of distance viewing.</w:t>
            </w:r>
          </w:p>
        </w:tc>
        <w:tc>
          <w:tcPr>
            <w:tcW w:type="dxa" w:w="1600"/>
          </w:tcPr>
          <w:p>
            <w:pPr>
              <w:bidi/>
              <w:spacing w:after="0" w:line="400"/>
              <w:jc w:val="center"/>
            </w:pPr>
            <w:r>
              <w:rPr>
                <w:rFonts w:ascii="Amiri" w:cs="Amiri" w:eastAsia="Amiri" w:hAnsi="Amiri"/>
                <w:b w:val="false"/>
                <w:bCs w:val="false"/>
                <w:color w:val="1B3A2F"/>
                <w:sz w:val="20"/>
                <w:szCs w:val="20"/>
                <w:rtl/>
              </w:rPr>
              <w:t xml:space="preserve">دقيقة</w:t>
            </w:r>
          </w:p>
        </w:tc>
        <w:tc>
          <w:tcPr>
            <w:tcW w:type="dxa" w:w="1600"/>
          </w:tcPr>
          <w:p>
            <w:pPr>
              <w:bidi/>
              <w:spacing w:after="0" w:line="400"/>
              <w:jc w:val="center"/>
            </w:pPr>
            <w:r>
              <w:rPr>
                <w:rFonts w:ascii="Amiri" w:cs="Amiri" w:eastAsia="Amiri" w:hAnsi="Amiri"/>
                <w:b w:val="false"/>
                <w:bCs w:val="false"/>
                <w:color w:val="9A7B23"/>
                <w:sz w:val="20"/>
                <w:szCs w:val="20"/>
                <w:rtl/>
              </w:rPr>
              <w:t xml:space="preserve">قويّة</w:t>
            </w:r>
          </w:p>
        </w:tc>
      </w:tr>
      <w:tr>
        <w:tc>
          <w:tcPr>
            <w:tcW w:type="dxa" w:w="1600"/>
          </w:tcPr>
          <w:p>
            <w:pPr>
              <w:bidi/>
              <w:spacing w:after="0" w:line="400"/>
              <w:jc w:val="right"/>
            </w:pPr>
            <w:r>
              <w:rPr>
                <w:rFonts w:ascii="Amiri" w:cs="Amiri" w:eastAsia="Amiri" w:hAnsi="Amiri"/>
                <w:b/>
                <w:bCs/>
                <w:color w:val="1B3A2F"/>
                <w:sz w:val="20"/>
                <w:szCs w:val="20"/>
                <w:rtl/>
              </w:rPr>
              <w:t xml:space="preserve">٥ — الجذرُ الثلاثيّ</w:t>
            </w:r>
          </w:p>
        </w:tc>
        <w:tc>
          <w:tcPr>
            <w:tcW w:type="dxa" w:w="4600"/>
          </w:tcPr>
          <w:p>
            <w:pPr>
              <w:bidi/>
              <w:spacing w:after="0" w:line="400"/>
              <w:jc w:val="right"/>
            </w:pPr>
            <w:r>
              <w:rPr>
                <w:rFonts w:ascii="Amiri" w:cs="Amiri" w:eastAsia="Amiri" w:hAnsi="Amiri"/>
                <w:b w:val="false"/>
                <w:bCs w:val="false"/>
                <w:color w:val="1B3A2F"/>
                <w:sz w:val="20"/>
                <w:szCs w:val="20"/>
                <w:rtl/>
              </w:rPr>
              <w:t xml:space="preserve">تُعطى الكلمة، ويستخرج الطفل جذرَها بأصابعه الثلاثة: إصبعٌ لكلّ حرفٍ أصليّ.</w:t>
            </w:r>
          </w:p>
          <w:p>
            <w:pPr>
              <w:spacing w:after="0" w:line="300"/>
              <w:jc w:val="left"/>
            </w:pPr>
            <w:r>
              <w:rPr>
                <w:rFonts w:ascii="EB Garamond" w:cs="EB Garamond" w:eastAsia="EB Garamond" w:hAnsi="EB Garamond"/>
                <w:i/>
                <w:iCs/>
                <w:color w:val="4A6459"/>
                <w:sz w:val="16"/>
                <w:szCs w:val="16"/>
              </w:rPr>
              <w:t xml:space="preserve">The Triliteral Root — three fingers, one per radical.</w:t>
            </w:r>
          </w:p>
        </w:tc>
        <w:tc>
          <w:tcPr>
            <w:tcW w:type="dxa" w:w="1600"/>
          </w:tcPr>
          <w:p>
            <w:pPr>
              <w:bidi/>
              <w:spacing w:after="0" w:line="400"/>
              <w:jc w:val="center"/>
            </w:pPr>
            <w:r>
              <w:rPr>
                <w:rFonts w:ascii="Amiri" w:cs="Amiri" w:eastAsia="Amiri" w:hAnsi="Amiri"/>
                <w:b w:val="false"/>
                <w:bCs w:val="false"/>
                <w:color w:val="1B3A2F"/>
                <w:sz w:val="20"/>
                <w:szCs w:val="20"/>
                <w:rtl/>
              </w:rPr>
              <w:t xml:space="preserve">ثلاث دقائق</w:t>
            </w:r>
          </w:p>
        </w:tc>
        <w:tc>
          <w:tcPr>
            <w:tcW w:type="dxa" w:w="1600"/>
          </w:tcPr>
          <w:p>
            <w:pPr>
              <w:bidi/>
              <w:spacing w:after="0" w:line="400"/>
              <w:jc w:val="center"/>
            </w:pPr>
            <w:r>
              <w:rPr>
                <w:rFonts w:ascii="Amiri" w:cs="Amiri" w:eastAsia="Amiri" w:hAnsi="Amiri"/>
                <w:b w:val="false"/>
                <w:bCs w:val="false"/>
                <w:color w:val="9A7B23"/>
                <w:sz w:val="20"/>
                <w:szCs w:val="20"/>
                <w:rtl/>
              </w:rPr>
              <w:t xml:space="preserve">غير مُختبَرة</w:t>
            </w:r>
          </w:p>
        </w:tc>
      </w:tr>
      <w:tr>
        <w:tc>
          <w:tcPr>
            <w:tcW w:type="dxa" w:w="1600"/>
          </w:tcPr>
          <w:p>
            <w:pPr>
              <w:bidi/>
              <w:spacing w:after="0" w:line="400"/>
              <w:jc w:val="right"/>
            </w:pPr>
            <w:r>
              <w:rPr>
                <w:rFonts w:ascii="Amiri" w:cs="Amiri" w:eastAsia="Amiri" w:hAnsi="Amiri"/>
                <w:b/>
                <w:bCs/>
                <w:color w:val="1B3A2F"/>
                <w:sz w:val="20"/>
                <w:szCs w:val="20"/>
                <w:rtl/>
              </w:rPr>
              <w:t xml:space="preserve">٦ — قراءةُ الكتف</w:t>
            </w:r>
          </w:p>
        </w:tc>
        <w:tc>
          <w:tcPr>
            <w:tcW w:type="dxa" w:w="4600"/>
          </w:tcPr>
          <w:p>
            <w:pPr>
              <w:bidi/>
              <w:spacing w:after="0" w:line="400"/>
              <w:jc w:val="right"/>
            </w:pPr>
            <w:r>
              <w:rPr>
                <w:rFonts w:ascii="Amiri" w:cs="Amiri" w:eastAsia="Amiri" w:hAnsi="Amiri"/>
                <w:b w:val="false"/>
                <w:bCs w:val="false"/>
                <w:color w:val="1B3A2F"/>
                <w:sz w:val="20"/>
                <w:szCs w:val="20"/>
                <w:rtl/>
              </w:rPr>
              <w:t xml:space="preserve">يقرأ الطفل واقفًا وكتفاه مسترخيتان، سطرًا واحدًا بصوتٍ مسموع، ثم يجلس.</w:t>
            </w:r>
          </w:p>
          <w:p>
            <w:pPr>
              <w:spacing w:after="0" w:line="300"/>
              <w:jc w:val="left"/>
            </w:pPr>
            <w:r>
              <w:rPr>
                <w:rFonts w:ascii="EB Garamond" w:cs="EB Garamond" w:eastAsia="EB Garamond" w:hAnsi="EB Garamond"/>
                <w:i/>
                <w:iCs/>
                <w:color w:val="4A6459"/>
                <w:sz w:val="16"/>
                <w:szCs w:val="16"/>
              </w:rPr>
              <w:t xml:space="preserve">Reading from the Shoulder — one line read standing.</w:t>
            </w:r>
          </w:p>
        </w:tc>
        <w:tc>
          <w:tcPr>
            <w:tcW w:type="dxa" w:w="1600"/>
          </w:tcPr>
          <w:p>
            <w:pPr>
              <w:bidi/>
              <w:spacing w:after="0" w:line="400"/>
              <w:jc w:val="center"/>
            </w:pPr>
            <w:r>
              <w:rPr>
                <w:rFonts w:ascii="Amiri" w:cs="Amiri" w:eastAsia="Amiri" w:hAnsi="Amiri"/>
                <w:b w:val="false"/>
                <w:bCs w:val="false"/>
                <w:color w:val="1B3A2F"/>
                <w:sz w:val="20"/>
                <w:szCs w:val="20"/>
                <w:rtl/>
              </w:rPr>
              <w:t xml:space="preserve">دقيقتان</w:t>
            </w:r>
          </w:p>
        </w:tc>
        <w:tc>
          <w:tcPr>
            <w:tcW w:type="dxa" w:w="1600"/>
          </w:tcPr>
          <w:p>
            <w:pPr>
              <w:bidi/>
              <w:spacing w:after="0" w:line="400"/>
              <w:jc w:val="center"/>
            </w:pPr>
            <w:r>
              <w:rPr>
                <w:rFonts w:ascii="Amiri" w:cs="Amiri" w:eastAsia="Amiri" w:hAnsi="Amiri"/>
                <w:b w:val="false"/>
                <w:bCs w:val="false"/>
                <w:color w:val="9A7B23"/>
                <w:sz w:val="20"/>
                <w:szCs w:val="20"/>
                <w:rtl/>
              </w:rPr>
              <w:t xml:space="preserve">متوسّطة</w:t>
            </w:r>
          </w:p>
        </w:tc>
      </w:tr>
      <w:tr>
        <w:tc>
          <w:tcPr>
            <w:tcW w:type="dxa" w:w="1600"/>
          </w:tcPr>
          <w:p>
            <w:pPr>
              <w:bidi/>
              <w:spacing w:after="0" w:line="400"/>
              <w:jc w:val="right"/>
            </w:pPr>
            <w:r>
              <w:rPr>
                <w:rFonts w:ascii="Amiri" w:cs="Amiri" w:eastAsia="Amiri" w:hAnsi="Amiri"/>
                <w:b/>
                <w:bCs/>
                <w:color w:val="1B3A2F"/>
                <w:sz w:val="20"/>
                <w:szCs w:val="20"/>
                <w:rtl/>
              </w:rPr>
              <w:t xml:space="preserve">٧ — الكلمةُ في الهواء</w:t>
            </w:r>
          </w:p>
        </w:tc>
        <w:tc>
          <w:tcPr>
            <w:tcW w:type="dxa" w:w="4600"/>
          </w:tcPr>
          <w:p>
            <w:pPr>
              <w:bidi/>
              <w:spacing w:after="0" w:line="400"/>
              <w:jc w:val="right"/>
            </w:pPr>
            <w:r>
              <w:rPr>
                <w:rFonts w:ascii="Amiri" w:cs="Amiri" w:eastAsia="Amiri" w:hAnsi="Amiri"/>
                <w:b w:val="false"/>
                <w:bCs w:val="false"/>
                <w:color w:val="1B3A2F"/>
                <w:sz w:val="20"/>
                <w:szCs w:val="20"/>
                <w:rtl/>
              </w:rPr>
              <w:t xml:space="preserve">يكتب الطفل الكلمة في الهواء بذراعٍ ممدودة كاملة، ثم يكتبها على الورق.</w:t>
            </w:r>
          </w:p>
          <w:p>
            <w:pPr>
              <w:spacing w:after="0" w:line="300"/>
              <w:jc w:val="left"/>
            </w:pPr>
            <w:r>
              <w:rPr>
                <w:rFonts w:ascii="EB Garamond" w:cs="EB Garamond" w:eastAsia="EB Garamond" w:hAnsi="EB Garamond"/>
                <w:i/>
                <w:iCs/>
                <w:color w:val="4A6459"/>
                <w:sz w:val="16"/>
                <w:szCs w:val="16"/>
              </w:rPr>
              <w:t xml:space="preserve">The Word in the Air — full-arm writing before pen writing.</w:t>
            </w:r>
          </w:p>
        </w:tc>
        <w:tc>
          <w:tcPr>
            <w:tcW w:type="dxa" w:w="1600"/>
          </w:tcPr>
          <w:p>
            <w:pPr>
              <w:bidi/>
              <w:spacing w:after="0" w:line="400"/>
              <w:jc w:val="center"/>
            </w:pPr>
            <w:r>
              <w:rPr>
                <w:rFonts w:ascii="Amiri" w:cs="Amiri" w:eastAsia="Amiri" w:hAnsi="Amiri"/>
                <w:b w:val="false"/>
                <w:bCs w:val="false"/>
                <w:color w:val="1B3A2F"/>
                <w:sz w:val="20"/>
                <w:szCs w:val="20"/>
                <w:rtl/>
              </w:rPr>
              <w:t xml:space="preserve">دقيقتان</w:t>
            </w:r>
          </w:p>
        </w:tc>
        <w:tc>
          <w:tcPr>
            <w:tcW w:type="dxa" w:w="1600"/>
          </w:tcPr>
          <w:p>
            <w:pPr>
              <w:bidi/>
              <w:spacing w:after="0" w:line="400"/>
              <w:jc w:val="center"/>
            </w:pPr>
            <w:r>
              <w:rPr>
                <w:rFonts w:ascii="Amiri" w:cs="Amiri" w:eastAsia="Amiri" w:hAnsi="Amiri"/>
                <w:b w:val="false"/>
                <w:bCs w:val="false"/>
                <w:color w:val="9A7B23"/>
                <w:sz w:val="20"/>
                <w:szCs w:val="20"/>
                <w:rtl/>
              </w:rPr>
              <w:t xml:space="preserve">متوسّطة</w:t>
            </w:r>
          </w:p>
        </w:tc>
      </w:tr>
      <w:tr>
        <w:tc>
          <w:tcPr>
            <w:tcW w:type="dxa" w:w="1600"/>
          </w:tcPr>
          <w:p>
            <w:pPr>
              <w:bidi/>
              <w:spacing w:after="0" w:line="400"/>
              <w:jc w:val="right"/>
            </w:pPr>
            <w:r>
              <w:rPr>
                <w:rFonts w:ascii="Amiri" w:cs="Amiri" w:eastAsia="Amiri" w:hAnsi="Amiri"/>
                <w:b/>
                <w:bCs/>
                <w:color w:val="1B3A2F"/>
                <w:sz w:val="20"/>
                <w:szCs w:val="20"/>
                <w:rtl/>
              </w:rPr>
              <w:t xml:space="preserve">٨ — إنصاتُ الفرق</w:t>
            </w:r>
          </w:p>
        </w:tc>
        <w:tc>
          <w:tcPr>
            <w:tcW w:type="dxa" w:w="4600"/>
          </w:tcPr>
          <w:p>
            <w:pPr>
              <w:bidi/>
              <w:spacing w:after="0" w:line="400"/>
              <w:jc w:val="right"/>
            </w:pPr>
            <w:r>
              <w:rPr>
                <w:rFonts w:ascii="Amiri" w:cs="Amiri" w:eastAsia="Amiri" w:hAnsi="Amiri"/>
                <w:b w:val="false"/>
                <w:bCs w:val="false"/>
                <w:color w:val="1B3A2F"/>
                <w:sz w:val="20"/>
                <w:szCs w:val="20"/>
                <w:rtl/>
              </w:rPr>
              <w:t xml:space="preserve">يُقرأ صوتان متقاربان (س/ص، ت/ط)، ويرفع الطفل يده حين يتغيّر الصوت.</w:t>
            </w:r>
          </w:p>
          <w:p>
            <w:pPr>
              <w:spacing w:after="0" w:line="300"/>
              <w:jc w:val="left"/>
            </w:pPr>
            <w:r>
              <w:rPr>
                <w:rFonts w:ascii="EB Garamond" w:cs="EB Garamond" w:eastAsia="EB Garamond" w:hAnsi="EB Garamond"/>
                <w:i/>
                <w:iCs/>
                <w:color w:val="4A6459"/>
                <w:sz w:val="16"/>
                <w:szCs w:val="16"/>
              </w:rPr>
              <w:t xml:space="preserve">Listening for the Difference — hand raised at the contrast.</w:t>
            </w:r>
          </w:p>
        </w:tc>
        <w:tc>
          <w:tcPr>
            <w:tcW w:type="dxa" w:w="1600"/>
          </w:tcPr>
          <w:p>
            <w:pPr>
              <w:bidi/>
              <w:spacing w:after="0" w:line="400"/>
              <w:jc w:val="center"/>
            </w:pPr>
            <w:r>
              <w:rPr>
                <w:rFonts w:ascii="Amiri" w:cs="Amiri" w:eastAsia="Amiri" w:hAnsi="Amiri"/>
                <w:b w:val="false"/>
                <w:bCs w:val="false"/>
                <w:color w:val="1B3A2F"/>
                <w:sz w:val="20"/>
                <w:szCs w:val="20"/>
                <w:rtl/>
              </w:rPr>
              <w:t xml:space="preserve">ثلاث دقائق</w:t>
            </w:r>
          </w:p>
        </w:tc>
        <w:tc>
          <w:tcPr>
            <w:tcW w:type="dxa" w:w="1600"/>
          </w:tcPr>
          <w:p>
            <w:pPr>
              <w:bidi/>
              <w:spacing w:after="0" w:line="400"/>
              <w:jc w:val="center"/>
            </w:pPr>
            <w:r>
              <w:rPr>
                <w:rFonts w:ascii="Amiri" w:cs="Amiri" w:eastAsia="Amiri" w:hAnsi="Amiri"/>
                <w:b w:val="false"/>
                <w:bCs w:val="false"/>
                <w:color w:val="9A7B23"/>
                <w:sz w:val="20"/>
                <w:szCs w:val="20"/>
                <w:rtl/>
              </w:rPr>
              <w:t xml:space="preserve">متوسّطة</w:t>
            </w:r>
          </w:p>
        </w:tc>
      </w:tr>
      <w:tr>
        <w:tc>
          <w:tcPr>
            <w:tcW w:type="dxa" w:w="1600"/>
          </w:tcPr>
          <w:p>
            <w:pPr>
              <w:bidi/>
              <w:spacing w:after="0" w:line="400"/>
              <w:jc w:val="right"/>
            </w:pPr>
            <w:r>
              <w:rPr>
                <w:rFonts w:ascii="Amiri" w:cs="Amiri" w:eastAsia="Amiri" w:hAnsi="Amiri"/>
                <w:b/>
                <w:bCs/>
                <w:color w:val="1B3A2F"/>
                <w:sz w:val="20"/>
                <w:szCs w:val="20"/>
                <w:rtl/>
              </w:rPr>
              <w:t xml:space="preserve">٩ — إعادةُ الجملة</w:t>
            </w:r>
          </w:p>
        </w:tc>
        <w:tc>
          <w:tcPr>
            <w:tcW w:type="dxa" w:w="4600"/>
          </w:tcPr>
          <w:p>
            <w:pPr>
              <w:bidi/>
              <w:spacing w:after="0" w:line="400"/>
              <w:jc w:val="right"/>
            </w:pPr>
            <w:r>
              <w:rPr>
                <w:rFonts w:ascii="Amiri" w:cs="Amiri" w:eastAsia="Amiri" w:hAnsi="Amiri"/>
                <w:b w:val="false"/>
                <w:bCs w:val="false"/>
                <w:color w:val="1B3A2F"/>
                <w:sz w:val="20"/>
                <w:szCs w:val="20"/>
                <w:rtl/>
              </w:rPr>
              <w:t xml:space="preserve">يسمع الطفل جملةً كاملة ثم يعيدها بلا نظرٍ إلى الصفحة.</w:t>
            </w:r>
          </w:p>
          <w:p>
            <w:pPr>
              <w:spacing w:after="0" w:line="300"/>
              <w:jc w:val="left"/>
            </w:pPr>
            <w:r>
              <w:rPr>
                <w:rFonts w:ascii="EB Garamond" w:cs="EB Garamond" w:eastAsia="EB Garamond" w:hAnsi="EB Garamond"/>
                <w:i/>
                <w:iCs/>
                <w:color w:val="4A6459"/>
                <w:sz w:val="16"/>
                <w:szCs w:val="16"/>
              </w:rPr>
              <w:t xml:space="preserve">Sentence Echo — repeat a full sentence from memory.</w:t>
            </w:r>
          </w:p>
        </w:tc>
        <w:tc>
          <w:tcPr>
            <w:tcW w:type="dxa" w:w="1600"/>
          </w:tcPr>
          <w:p>
            <w:pPr>
              <w:bidi/>
              <w:spacing w:after="0" w:line="400"/>
              <w:jc w:val="center"/>
            </w:pPr>
            <w:r>
              <w:rPr>
                <w:rFonts w:ascii="Amiri" w:cs="Amiri" w:eastAsia="Amiri" w:hAnsi="Amiri"/>
                <w:b w:val="false"/>
                <w:bCs w:val="false"/>
                <w:color w:val="1B3A2F"/>
                <w:sz w:val="20"/>
                <w:szCs w:val="20"/>
                <w:rtl/>
              </w:rPr>
              <w:t xml:space="preserve">دقيقتان</w:t>
            </w:r>
          </w:p>
        </w:tc>
        <w:tc>
          <w:tcPr>
            <w:tcW w:type="dxa" w:w="1600"/>
          </w:tcPr>
          <w:p>
            <w:pPr>
              <w:bidi/>
              <w:spacing w:after="0" w:line="400"/>
              <w:jc w:val="center"/>
            </w:pPr>
            <w:r>
              <w:rPr>
                <w:rFonts w:ascii="Amiri" w:cs="Amiri" w:eastAsia="Amiri" w:hAnsi="Amiri"/>
                <w:b w:val="false"/>
                <w:bCs w:val="false"/>
                <w:color w:val="9A7B23"/>
                <w:sz w:val="20"/>
                <w:szCs w:val="20"/>
                <w:rtl/>
              </w:rPr>
              <w:t xml:space="preserve">قويّة</w:t>
            </w:r>
          </w:p>
        </w:tc>
      </w:tr>
      <w:tr>
        <w:tc>
          <w:tcPr>
            <w:tcW w:type="dxa" w:w="1600"/>
          </w:tcPr>
          <w:p>
            <w:pPr>
              <w:bidi/>
              <w:spacing w:after="0" w:line="400"/>
              <w:jc w:val="right"/>
            </w:pPr>
            <w:r>
              <w:rPr>
                <w:rFonts w:ascii="Amiri" w:cs="Amiri" w:eastAsia="Amiri" w:hAnsi="Amiri"/>
                <w:b/>
                <w:bCs/>
                <w:color w:val="1B3A2F"/>
                <w:sz w:val="20"/>
                <w:szCs w:val="20"/>
                <w:rtl/>
              </w:rPr>
              <w:t xml:space="preserve">١٠ — كلمةُ الختام</w:t>
            </w:r>
          </w:p>
        </w:tc>
        <w:tc>
          <w:tcPr>
            <w:tcW w:type="dxa" w:w="4600"/>
          </w:tcPr>
          <w:p>
            <w:pPr>
              <w:bidi/>
              <w:spacing w:after="0" w:line="400"/>
              <w:jc w:val="right"/>
            </w:pPr>
            <w:r>
              <w:rPr>
                <w:rFonts w:ascii="Amiri" w:cs="Amiri" w:eastAsia="Amiri" w:hAnsi="Amiri"/>
                <w:b w:val="false"/>
                <w:bCs w:val="false"/>
                <w:color w:val="1B3A2F"/>
                <w:sz w:val="20"/>
                <w:szCs w:val="20"/>
                <w:rtl/>
              </w:rPr>
              <w:t xml:space="preserve">يكتب الطفل كلمةً واحدة تلخّص ما قرأ، ويقرؤها بصوتٍ خافت، ثم يُغلق الكتاب.</w:t>
            </w:r>
          </w:p>
          <w:p>
            <w:pPr>
              <w:spacing w:after="0" w:line="300"/>
              <w:jc w:val="left"/>
            </w:pPr>
            <w:r>
              <w:rPr>
                <w:rFonts w:ascii="EB Garamond" w:cs="EB Garamond" w:eastAsia="EB Garamond" w:hAnsi="EB Garamond"/>
                <w:i/>
                <w:iCs/>
                <w:color w:val="4A6459"/>
                <w:sz w:val="16"/>
                <w:szCs w:val="16"/>
              </w:rPr>
              <w:t xml:space="preserve">The Closing Word — one word that holds the reading.</w:t>
            </w:r>
          </w:p>
        </w:tc>
        <w:tc>
          <w:tcPr>
            <w:tcW w:type="dxa" w:w="1600"/>
          </w:tcPr>
          <w:p>
            <w:pPr>
              <w:bidi/>
              <w:spacing w:after="0" w:line="400"/>
              <w:jc w:val="center"/>
            </w:pPr>
            <w:r>
              <w:rPr>
                <w:rFonts w:ascii="Amiri" w:cs="Amiri" w:eastAsia="Amiri" w:hAnsi="Amiri"/>
                <w:b w:val="false"/>
                <w:bCs w:val="false"/>
                <w:color w:val="1B3A2F"/>
                <w:sz w:val="20"/>
                <w:szCs w:val="20"/>
                <w:rtl/>
              </w:rPr>
              <w:t xml:space="preserve">دقيقتان</w:t>
            </w:r>
          </w:p>
        </w:tc>
        <w:tc>
          <w:tcPr>
            <w:tcW w:type="dxa" w:w="1600"/>
          </w:tcPr>
          <w:p>
            <w:pPr>
              <w:bidi/>
              <w:spacing w:after="0" w:line="400"/>
              <w:jc w:val="center"/>
            </w:pPr>
            <w:r>
              <w:rPr>
                <w:rFonts w:ascii="Amiri" w:cs="Amiri" w:eastAsia="Amiri" w:hAnsi="Amiri"/>
                <w:b w:val="false"/>
                <w:bCs w:val="false"/>
                <w:color w:val="9A7B23"/>
                <w:sz w:val="20"/>
                <w:szCs w:val="20"/>
                <w:rtl/>
              </w:rPr>
              <w:t xml:space="preserve">غير مُختبَرة</w:t>
            </w:r>
          </w:p>
        </w:tc>
      </w:tr>
    </w:tbl>
    <w:p>
      <w:r>
        <w:br w:type="page"/>
      </w:r>
    </w:p>
    <w:p>
      <w:pPr>
        <w:pStyle w:val="Heading2"/>
        <w:bidi/>
        <w:spacing w:after="160" w:before="300"/>
        <w:jc w:val="right"/>
      </w:pPr>
      <w:r>
        <w:rPr>
          <w:rFonts w:ascii="Amiri" w:cs="Amiri" w:eastAsia="Amiri" w:hAnsi="Amiri"/>
          <w:b/>
          <w:bCs/>
          <w:color w:val="1B3A2F"/>
          <w:sz w:val="28"/>
          <w:szCs w:val="28"/>
          <w:rtl/>
        </w:rPr>
        <w:t xml:space="preserve">دَرَجاتُ الدَّليل</w:t>
      </w:r>
    </w:p>
    <w:p>
      <w:pPr>
        <w:bidi/>
        <w:spacing w:after="140" w:line="400"/>
        <w:jc w:val="right"/>
      </w:pPr>
      <w:r>
        <w:rPr>
          <w:rFonts w:ascii="Amiri" w:cs="Amiri" w:eastAsia="Amiri" w:hAnsi="Amiri"/>
          <w:b w:val="false"/>
          <w:bCs w:val="false"/>
          <w:color w:val="1B3A2F"/>
          <w:sz w:val="24"/>
          <w:szCs w:val="24"/>
          <w:rtl/>
        </w:rPr>
        <w:t xml:space="preserve">الدرجةُ تصفُ قوّةَ الشاهد العلميّ خلف الروتين، لا قوّةَ اعتقادنا فيه.</w:t>
      </w:r>
    </w:p>
    <w:p>
      <w:pPr>
        <w:bidi/>
        <w:spacing w:after="80" w:line="400"/>
        <w:jc w:val="right"/>
      </w:pPr>
      <w:r>
        <w:rPr>
          <w:rFonts w:ascii="Amiri" w:cs="Amiri" w:eastAsia="Amiri" w:hAnsi="Amiri"/>
          <w:b w:val="false"/>
          <w:bCs w:val="false"/>
          <w:color w:val="1B3A2F"/>
          <w:sz w:val="24"/>
          <w:szCs w:val="24"/>
          <w:rtl/>
        </w:rPr>
        <w:t xml:space="preserve">قويّة — أثرٌ موثَّقٌ في دراساتٍ مستقلّةٍ عن جُذور.</w:t>
      </w:r>
    </w:p>
    <w:p>
      <w:pPr>
        <w:bidi/>
        <w:spacing w:after="80" w:line="400"/>
        <w:jc w:val="right"/>
      </w:pPr>
      <w:r>
        <w:rPr>
          <w:rFonts w:ascii="Amiri" w:cs="Amiri" w:eastAsia="Amiri" w:hAnsi="Amiri"/>
          <w:b w:val="false"/>
          <w:bCs w:val="false"/>
          <w:color w:val="1B3A2F"/>
          <w:sz w:val="24"/>
          <w:szCs w:val="24"/>
          <w:rtl/>
        </w:rPr>
        <w:t xml:space="preserve">متوسّطة — يسنده بحثٌ عامٌّ في الترميز الحسّيّ الحركيّ، ولم يُختبَر في هذه الصيغة بعينها.</w:t>
      </w:r>
    </w:p>
    <w:p>
      <w:pPr>
        <w:bidi/>
        <w:spacing w:after="140" w:line="400"/>
        <w:jc w:val="right"/>
      </w:pPr>
      <w:r>
        <w:rPr>
          <w:rFonts w:ascii="Amiri" w:cs="Amiri" w:eastAsia="Amiri" w:hAnsi="Amiri"/>
          <w:b w:val="false"/>
          <w:bCs w:val="false"/>
          <w:color w:val="1B3A2F"/>
          <w:sz w:val="24"/>
          <w:szCs w:val="24"/>
          <w:rtl/>
        </w:rPr>
        <w:t xml:space="preserve">غير مُختبَرة — مبنيّةٌ على إطار القراءة الملموسة (TRF) ولم تُقَس بعد.</w:t>
      </w:r>
    </w:p>
    <w:p>
      <w:pPr>
        <w:spacing w:after="120" w:line="300"/>
        <w:jc w:val="left"/>
      </w:pPr>
      <w:r>
        <w:rPr>
          <w:rFonts w:ascii="EB Garamond" w:cs="EB Garamond" w:eastAsia="EB Garamond" w:hAnsi="EB Garamond"/>
          <w:i w:val="false"/>
          <w:iCs w:val="false"/>
          <w:color w:val="4A6459"/>
          <w:sz w:val="20"/>
          <w:szCs w:val="20"/>
        </w:rPr>
        <w:t xml:space="preserve">A grade describes the strength of the evidence behind a routine, not the strength of our belief in it.</w:t>
      </w:r>
    </w:p>
    <w:p>
      <w:pPr>
        <w:pBdr>
          <w:bottom w:val="single" w:color="D9CFB4" w:sz="6"/>
        </w:pBdr>
        <w:spacing w:after="200" w:before="120"/>
      </w:pPr>
    </w:p>
    <w:p>
      <w:pPr>
        <w:pStyle w:val="Heading2"/>
        <w:bidi/>
        <w:spacing w:after="160" w:before="300"/>
        <w:jc w:val="right"/>
      </w:pPr>
      <w:r>
        <w:rPr>
          <w:rFonts w:ascii="Amiri" w:cs="Amiri" w:eastAsia="Amiri" w:hAnsi="Amiri"/>
          <w:b/>
          <w:bCs/>
          <w:color w:val="1B3A2F"/>
          <w:sz w:val="28"/>
          <w:szCs w:val="28"/>
          <w:rtl/>
        </w:rPr>
        <w:t xml:space="preserve">ما لا تَدَّعيه هذه الصفحات</w:t>
      </w:r>
    </w:p>
    <w:p>
      <w:pPr>
        <w:bidi/>
        <w:spacing w:after="140" w:line="400"/>
        <w:jc w:val="right"/>
      </w:pPr>
      <w:r>
        <w:rPr>
          <w:rFonts w:ascii="Amiri" w:cs="Amiri" w:eastAsia="Amiri" w:hAnsi="Amiri"/>
          <w:b w:val="false"/>
          <w:bCs w:val="false"/>
          <w:color w:val="1B3A2F"/>
          <w:sz w:val="24"/>
          <w:szCs w:val="24"/>
          <w:rtl/>
        </w:rPr>
        <w:t xml:space="preserve">ليست هذه بديلًا عن منهج، ولا أداةَ تشخيصٍ أو فرزٍ للأطفال، ولا حلًّا للازدواجيّة اللغوية — تلك مسألةٌ أخرى تحتاج تدخّلًا آخر. وما وُسم بـ«غير مُختبَرة» فهو كذلك حتّى يُقاس ويُنشَر، حَسُنَ أم ساء.</w:t>
      </w:r>
    </w:p>
    <w:p>
      <w:pPr>
        <w:spacing w:after="120" w:line="300"/>
        <w:jc w:val="left"/>
      </w:pPr>
      <w:r>
        <w:rPr>
          <w:rFonts w:ascii="EB Garamond" w:cs="EB Garamond" w:eastAsia="EB Garamond" w:hAnsi="EB Garamond"/>
          <w:i w:val="false"/>
          <w:iCs w:val="false"/>
          <w:color w:val="4A6459"/>
          <w:sz w:val="20"/>
          <w:szCs w:val="20"/>
        </w:rPr>
        <w:t xml:space="preserve">Not a curriculum, not a diagnostic or sorting instrument, and not a remedy for diglossia. What is marked untested stays untested until it is measured and published.</w:t>
      </w:r>
    </w:p>
    <w:p>
      <w:pPr>
        <w:pBdr>
          <w:bottom w:val="single" w:color="D9CFB4" w:sz="6"/>
        </w:pBdr>
        <w:spacing w:after="200" w:before="120"/>
      </w:pPr>
    </w:p>
    <w:p>
      <w:pPr>
        <w:bidi/>
        <w:spacing w:after="60" w:line="400"/>
        <w:jc w:val="center"/>
      </w:pPr>
      <w:r>
        <w:rPr>
          <w:rFonts w:ascii="Amiri" w:cs="Amiri" w:eastAsia="Amiri" w:hAnsi="Amiri"/>
          <w:b w:val="false"/>
          <w:bCs w:val="false"/>
          <w:color w:val="9A7B23"/>
          <w:sz w:val="18"/>
          <w:szCs w:val="18"/>
          <w:rtl/>
        </w:rPr>
        <w:t xml:space="preserve">إطارُ القراءةِ الملموسة (TRF) · Amer (2024) · ORCID 0009-0008-9618-3863</w:t>
      </w:r>
    </w:p>
    <w:p>
      <w:pPr>
        <w:spacing w:after="60"/>
        <w:jc w:val="center"/>
      </w:pPr>
      <w:r>
        <w:rPr>
          <w:rFonts w:ascii="EB Garamond" w:cs="EB Garamond" w:eastAsia="EB Garamond" w:hAnsi="EB Garamond"/>
          <w:color w:val="9A7B23"/>
          <w:sz w:val="18"/>
          <w:szCs w:val="18"/>
        </w:rPr>
        <w:t xml:space="preserve">رخصة CC BY-NC-SA 4.0 · aamer@asdubai.org</w:t>
      </w:r>
    </w:p>
    <w:p>
      <w:pPr>
        <w:bidi/>
        <w:jc w:val="center"/>
      </w:pPr>
      <w:r>
        <w:rPr>
          <w:rFonts w:ascii="Amiri" w:cs="Amiri" w:eastAsia="Amiri" w:hAnsi="Amiri"/>
          <w:color w:val="1B3A2F"/>
          <w:sz w:val="18"/>
          <w:szCs w:val="18"/>
          <w:rtl/>
        </w:rPr>
        <w:t xml:space="preserve">صمّمه وطوّره د. عادل ف. عامر · Designed and developed by Dr. Adel F. Amer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miri" w:cs="Amiri" w:eastAsia="Amiri" w:hAnsi="Ami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Adel F. Amer</dc:creator>
  <cp:lastModifiedBy>Adel F. Amer</cp:lastModifiedBy>
  <cp:revision>1</cp:revision>
  <dcterms:created xsi:type="dcterms:W3CDTF">2026-08-17T15:25:28Z</dcterms:created>
  <dcterms:modified xsi:type="dcterms:W3CDTF">2026-08-17T15:25:28Z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