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miri" w:cs="Amiri" w:eastAsia="Amiri" w:hAnsi="Amiri"/>
          <w:color w:val="9A7B23"/>
          <w:sz w:val="18"/>
          <w:szCs w:val="18"/>
          <w:rtl/>
        </w:rPr>
        <w:t xml:space="preserve">مَطبعةُ جُذور · دبي · MCMXXVI</w:t>
      </w:r>
    </w:p>
    <w:p>
      <w:pPr>
        <w:pStyle w:val="Heading1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34"/>
          <w:szCs w:val="34"/>
          <w:rtl/>
        </w:rPr>
        <w:t xml:space="preserve">العَشْرُ اليَومِيَّة</w:t>
      </w:r>
    </w:p>
    <w:p>
      <w:pPr>
        <w:spacing w:after="200"/>
        <w:jc w:val="center"/>
      </w:pPr>
      <w:r>
        <w:rPr>
          <w:rFonts w:ascii="EB Garamond" w:cs="EB Garamond" w:eastAsia="EB Garamond" w:hAnsi="EB Garamond"/>
          <w:i/>
          <w:iCs/>
          <w:color w:val="4A6459"/>
          <w:sz w:val="20"/>
          <w:szCs w:val="20"/>
        </w:rPr>
        <w:t xml:space="preserve">The Daily Ten — ten short routines for the reading classroom</w:t>
      </w:r>
    </w:p>
    <w:p>
      <w:pPr>
        <w:pBdr>
          <w:bottom w:val="single" w:color="D9CFB4" w:sz="6"/>
        </w:pBdr>
        <w:spacing w:after="200" w:before="120"/>
      </w:pP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عشرةُ روتينات، لا يزيد أطولُها على عشر دقائق، تُبنى بها عادةُ الانتباه قبل أن تُبنى عادةُ القراءة. تُؤخذ كلُّها في حصّةٍ واحدة أو تُفرَّق على الأسبوع؛ والترتيبُ مقترَحٌ لا مُلزِم.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Ten routines, none longer than ten minutes, that build the habit of attention before the habit of reading. Take them together or spread them across the week.</w:t>
      </w:r>
    </w:p>
    <w:p>
      <w:pPr>
        <w:pBdr>
          <w:bottom w:val="single" w:color="D9CFB4" w:sz="6"/>
        </w:pBdr>
        <w:spacing w:after="200" w:before="120"/>
      </w:pP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حَدُّ اللَّمس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كلُّ حركةٍ في هذه الصفحات يؤدّيها الطفلُ بنفسه. لا تلمس يدُ المعلّم أو المرافق جسدَ الطفل في أيّ روتينٍ منها. من احتاج مساعدةً، تُعطى بالكلام والنموذج لا باليد.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Touch boundary: every movement is performed by the child. No companion hand touches the child’s body. Help is given by word and by demonstration.</w:t>
      </w:r>
    </w:p>
    <w:p>
      <w:pPr>
        <w:pBdr>
          <w:bottom w:val="single" w:color="D9CFB4" w:sz="6"/>
        </w:pBdr>
        <w:spacing w:after="200" w:before="120"/>
      </w:pP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العَشْرُ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1600"/>
        <w:gridCol w:w="1600"/>
      </w:tblGrid>
      <w:tr>
        <w:trPr>
          <w:tblHeader/>
        </w:trPr>
        <w:tc>
          <w:tcPr>
            <w:tcW w:type="dxa" w:w="1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الروتين</w:t>
            </w:r>
          </w:p>
        </w:tc>
        <w:tc>
          <w:tcPr>
            <w:tcW w:type="dxa" w:w="4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ما يفعله الطفل</w:t>
            </w:r>
          </w:p>
        </w:tc>
        <w:tc>
          <w:tcPr>
            <w:tcW w:type="dxa" w:w="1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الزمن</w:t>
            </w:r>
          </w:p>
        </w:tc>
        <w:tc>
          <w:tcPr>
            <w:tcW w:type="dxa" w:w="1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درجةُ الدليل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١ — نَفَسُ البداية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ثلاثُ أنفاسٍ بطيئة قبل فتح الكتاب: شهيقٌ في أربع، حبسٌ في اثنتين، زفيرٌ في ستّ. يجلس الطفل مستويًا وكفّاه على الطاولة.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Opening Breath — three slow breaths before the book opens.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٢ — مَسُّ الحرف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يتتبّع الطفل حرفًا بارزًا أو غائرًا بإصبعه ثلاث مرّات، وعينُه مغلقة في المرّة الثالثة، ثم يسمّيه.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Tracing the Letter — finger-trace three times, eyes closed on the third.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 دقائق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٣ — صوتٌ ومَخرج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ينطق الطفل الحرف ويدُه على حنجرته أو شفتيه، ويقول أين أحسّ الحركة.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Sound and Place — hand on throat or lips while articulating.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٤ — وقفةُ الظِّل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ينظر الطفل بعيدًا عن الصفحة عشرين ثانية إلى أبعد شيءٍ في الغرفة، ثم يعود.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Shadow Pause — twenty seconds of distance viewing.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دقيقة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قويّة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٥ — الجذرُ الثلاثيّ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تُعطى الكلمة، ويستخرج الطفل جذرَها بأصابعه الثلاثة: إصبعٌ لكلّ حرفٍ أصليّ.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Triliteral Root — three fingers, one per radical.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 دقائق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غير مُختبَرة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٦ — قراءةُ الكتف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يقرأ الطفل واقفًا وكتفاه مسترخيتان، سطرًا واحدًا بصوتٍ مسموع، ثم يجلس.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Reading from the Shoulder — one line read standing.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٧ — الكلمةُ في الهواء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يكتب الطفل الكلمة في الهواء بذراعٍ ممدودة كاملة، ثم يكتبها على الورق.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Word in the Air — full-arm writing before pen writing.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٨ — إنصاتُ الفرق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يُقرأ صوتان متقاربان (س/ص، ت/ط)، ويرفع الطفل يده حين يتغيّر الصوت.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Listening for the Difference — hand raised at the contrast.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 دقائق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٩ — إعادةُ الجملة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يسمع الطفل جملةً كاملة ثم يعيدها بلا نظرٍ إلى الصفحة.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Sentence Echo — repeat a full sentence from memory.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قويّة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١٠ — كلمةُ الختام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يكتب الطفل كلمةً واحدة تلخّص ما قرأ، ويقرؤها بصوتٍ خافت، ثم يُغلق الكتاب.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Closing Word — one word that holds the reading.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غير مُختبَرة</w:t>
            </w:r>
          </w:p>
        </w:tc>
      </w:tr>
    </w:tbl>
    <w:p>
      <w:r>
        <w:br w:type="page"/>
      </w: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دَرَجاتُ الدَّليل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الدرجةُ تصفُ قوّةَ الشاهد العلميّ خلف الروتين، لا قوّةَ اعتقادنا فيه.</w:t>
      </w:r>
    </w:p>
    <w:p>
      <w:pPr>
        <w:bidi/>
        <w:spacing w:after="8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قويّة — أثرٌ موثَّقٌ في دراساتٍ مستقلّةٍ عن جُذور.</w:t>
      </w:r>
    </w:p>
    <w:p>
      <w:pPr>
        <w:bidi/>
        <w:spacing w:after="8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متوسّطة — يسنده بحثٌ عامٌّ في الترميز الحسّيّ الحركيّ، ولم يُختبَر في هذه الصيغة بعينها.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غير مُختبَرة — مبنيّةٌ على إطار القراءة الملموسة (TRF) ولم تُقَس بعد.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A grade describes the strength of the evidence behind a routine, not the strength of our belief in it.</w:t>
      </w:r>
    </w:p>
    <w:p>
      <w:pPr>
        <w:pBdr>
          <w:bottom w:val="single" w:color="D9CFB4" w:sz="6"/>
        </w:pBdr>
        <w:spacing w:after="200" w:before="120"/>
      </w:pP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ما لا تَدَّعيه هذه الصفحات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ليست هذه بديلًا عن منهج، ولا أداةَ تشخيصٍ أو فرزٍ للأطفال، ولا حلًّا للازدواجيّة اللغوية — تلك مسألةٌ أخرى تحتاج تدخّلًا آخر. وما وُسم بـ«غير مُختبَرة» فهو كذلك حتّى يُقاس ويُنشَر، حَسُنَ أم ساء.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Not a curriculum, not a diagnostic or sorting instrument, and not a remedy for diglossia. What is marked untested stays untested until it is measured and published.</w:t>
      </w:r>
    </w:p>
    <w:p>
      <w:pPr>
        <w:pBdr>
          <w:bottom w:val="single" w:color="D9CFB4" w:sz="6"/>
        </w:pBdr>
        <w:spacing w:after="200" w:before="120"/>
      </w:pPr>
    </w:p>
    <w:p>
      <w:pPr>
        <w:bidi/>
        <w:spacing w:after="60" w:line="400"/>
        <w:jc w:val="center"/>
      </w:pPr>
      <w:r>
        <w:rPr>
          <w:rFonts w:ascii="Amiri" w:cs="Amiri" w:eastAsia="Amiri" w:hAnsi="Amiri"/>
          <w:b w:val="false"/>
          <w:bCs w:val="false"/>
          <w:color w:val="9A7B23"/>
          <w:sz w:val="18"/>
          <w:szCs w:val="18"/>
          <w:rtl/>
        </w:rPr>
        <w:t xml:space="preserve">إطارُ القراءةِ الملموسة (TRF) · Amer (2024) · ORCID 0009-0008-9618-3863</w:t>
      </w:r>
    </w:p>
    <w:p>
      <w:pPr>
        <w:spacing w:after="60"/>
        <w:jc w:val="center"/>
      </w:pPr>
      <w:r>
        <w:rPr>
          <w:rFonts w:ascii="EB Garamond" w:cs="EB Garamond" w:eastAsia="EB Garamond" w:hAnsi="EB Garamond"/>
          <w:color w:val="9A7B23"/>
          <w:sz w:val="18"/>
          <w:szCs w:val="18"/>
        </w:rPr>
        <w:t xml:space="preserve">رخصة CC BY-NC-SA 4.0 · aamer@asdubai.org</w:t>
      </w:r>
    </w:p>
    <w:p>
      <w:pPr>
        <w:bidi/>
        <w:jc w:val="center"/>
      </w:pPr>
      <w:r>
        <w:rPr>
          <w:rFonts w:ascii="Amiri" w:cs="Amiri" w:eastAsia="Amiri" w:hAnsi="Amiri"/>
          <w:color w:val="1B3A2F"/>
          <w:sz w:val="18"/>
          <w:szCs w:val="18"/>
          <w:rtl/>
        </w:rPr>
        <w:t xml:space="preserve">صمّمه وطوّره د. عادل ف. عامر · Designed and developed by Dr. Adel F. Amer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miri" w:cs="Amiri" w:eastAsia="Amiri" w:hAnsi="Ami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2026-08-17T15:25:28.012Z</dcterms:created>
  <dcterms:modified xsi:type="dcterms:W3CDTF">2026-08-17T15:25:28.030Z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