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658a6d7b51b03157f7a5b927d5ccdcd2c5a67e2"/>
    <w:p>
      <w:pPr>
        <w:pStyle w:val="Heading1"/>
      </w:pPr>
      <w:r>
        <w:t xml:space="preserve">Poliovirus serotype fuzziness before standardization and after OPV2 withdrawal</w:t>
      </w:r>
    </w:p>
    <w:p>
      <w:pPr>
        <w:pStyle w:val="FirstParagraph"/>
      </w:pPr>
      <w:r>
        <w:t xml:space="preserve">The three-serotype framework is operationally sufficient for vaccination, but the boundaries were less clean in the pre-standardization literature than the modern reference system suggests. Cross-immunity experiments from 1949 include strains that sit between the canonical types. Subsequent assay and reference-strain standardization largely removed that ambiguity from routine observation.</w:t>
      </w:r>
    </w:p>
    <w:bookmarkStart w:id="9" w:name="cross-immunity-in-the-1949-literature"/>
    <w:p>
      <w:pPr>
        <w:pStyle w:val="Heading2"/>
      </w:pPr>
      <w:r>
        <w:t xml:space="preserve">Cross-immunity in the 1949 literature</w:t>
      </w:r>
    </w:p>
    <w:p>
      <w:pPr>
        <w:pStyle w:val="FirstParagraph"/>
      </w:pPr>
      <w:r>
        <w:t xml:space="preserve">Amy Rosenfeld’s work on cross-reactive antibody responses in enteroviruses motivated a re-examination of the early poliovirus literature on how serotypes were defined. Those studies measured cross-immunity by immunizing monkeys against one strain and challenging them with another. Significant protection across the eventual type boundaries appears directly in the data.</w:t>
      </w:r>
    </w:p>
    <w:p>
      <w:pPr>
        <w:pStyle w:val="BodyText"/>
      </w:pPr>
      <w:r>
        <w:t xml:space="preserve">The virology leaders I know in the eradication program inherited the serotype dogma in the early 1980s or later, two to four generations after investigators such as Bodian worked out the original scheme and a generation after its assays and reagents had been standardized. By then, the ambiguity visible in the earlier experiments was no longer part of routine practice.</w:t>
      </w:r>
    </w:p>
    <w:bookmarkEnd w:id="9"/>
    <w:bookmarkStart w:id="14" w:name="the-normal-pattern-per-and-kotter"/>
    <w:p>
      <w:pPr>
        <w:pStyle w:val="Heading2"/>
      </w:pPr>
      <w:r>
        <w:t xml:space="preserve">The normal pattern, Per, and Kotter</w:t>
      </w:r>
    </w:p>
    <w:p>
      <w:pPr>
        <w:pStyle w:val="FirstParagraph"/>
      </w:pPr>
      <w:r>
        <w:t xml:space="preserve">Bodian, Morgan, and Howe established the three-serotype grouping in a 1949 series in the</w:t>
      </w:r>
      <w:r>
        <w:t xml:space="preserve"> </w:t>
      </w:r>
      <w:r>
        <w:rPr>
          <w:i/>
          <w:iCs/>
        </w:rPr>
        <w:t xml:space="preserve">American Journal of Hygiene</w:t>
      </w:r>
      <w:r>
        <w:t xml:space="preserve"> </w:t>
      </w:r>
      <w:r>
        <w:t xml:space="preserve">(later renamed the</w:t>
      </w:r>
      <w:r>
        <w:t xml:space="preserve"> </w:t>
      </w:r>
      <w:r>
        <w:rPr>
          <w:i/>
          <w:iCs/>
        </w:rPr>
        <w:t xml:space="preserve">American Journal of Epidemiology</w:t>
      </w:r>
      <w:r>
        <w:t xml:space="preserve">).</w:t>
      </w:r>
      <w:r>
        <w:rPr>
          <w:rStyle w:val="FootnoteReference"/>
        </w:rPr>
        <w:footnoteReference w:id="10"/>
      </w:r>
      <w:r>
        <w:t xml:space="preserve"> </w:t>
      </w:r>
      <w:r>
        <w:t xml:space="preserve">The fourteen strains were compared with the three archetypes: Brunhilde (type 1), Lansing (type 2), and Leon (type 3). The normal type-defining pattern is clear. Monkeys immunized with Lansing resist challenge by other Lansing-like viruses but are paralyzed at approximately the control rate when challenged with Brunhilde-like viruses, and vice versa.</w:t>
      </w:r>
    </w:p>
    <w:p>
      <w:pPr>
        <w:pStyle w:val="BodyText"/>
      </w:pPr>
      <w:r>
        <w:t xml:space="preserve">But there are exceptions. Per reportedly came from a three-year-old girl who died in West Virginia in 1940 and was autopsied by Albert Sabin. Monkeys immunized against type 1 were fully protected when challenged with Per, but type 2 immunization also provided significant cross-protection. Per was grouped as type 1, but it sits in the middle.</w:t>
      </w:r>
    </w:p>
    <w:p>
      <w:pPr>
        <w:pStyle w:val="BodyText"/>
      </w:pPr>
      <w:r>
        <w:t xml:space="preserve">Kotter shows the reciprocal pattern. In the Bodian table, Lansing immunization appears partly protective against Kotter. In Morgan’s companion experiment, immunization with Kotter appears partly protective against Lansing.</w:t>
      </w:r>
      <w:r>
        <w:rPr>
          <w:rStyle w:val="FootnoteReference"/>
        </w:rPr>
        <w:footnoteReference w:id="12"/>
      </w:r>
      <w:r>
        <w:t xml:space="preserve"> </w:t>
      </w:r>
      <w:r>
        <w:t xml:space="preserve">I cannot rule out sampling variation or laboratory error. Still, across many years of looking at tables like these, assays using the same strain are usually reproducible to within one monkey across papers. Two of six animals affected when the expectation is six of six is weird.</w:t>
      </w:r>
    </w:p>
    <w:bookmarkEnd w:id="14"/>
    <w:bookmarkStart w:id="15" w:name="what-standardization-removed-from-view"/>
    <w:p>
      <w:pPr>
        <w:pStyle w:val="Heading2"/>
      </w:pPr>
      <w:r>
        <w:t xml:space="preserve">What standardization removed from view</w:t>
      </w:r>
    </w:p>
    <w:p>
      <w:pPr>
        <w:pStyle w:val="FirstParagraph"/>
      </w:pPr>
      <w:r>
        <w:t xml:space="preserve">These are old, small-N data. They also come from a period of high genetic diversity, before trivalent vaccination synchronized population immunity across serotypes and before assays and algorithms were defined to remove ambiguity among them. In the early 1950s, cell culture and the three-serotype scheme were standardized together for vaccine development. Laboratories stopped working with most of the old monkey-isolated strains and referenced tests to Mahoney or Brunhilde (type 1), Lansing (type 2), and Leon (type 3). Most of the other named isolates disappeared from the literature. By my count, of the fourteen strains in Bodian’s grouping, only four survived to be sequenced in the 1980s and 1990s: Brunhilde, Lansing, MEF-1, and Leon.</w:t>
      </w:r>
    </w:p>
    <w:p>
      <w:pPr>
        <w:pStyle w:val="BodyText"/>
      </w:pPr>
      <w:r>
        <w:t xml:space="preserve">For vaccination against three types, this lost nuance did not matter operationally. But in canonizing those stylized facts, the field lost the common knowledge that the story was fuzzy.</w:t>
      </w:r>
    </w:p>
    <w:bookmarkEnd w:id="15"/>
    <w:bookmarkStart w:id="16" w:name="a-conjecture-about-population-immunity"/>
    <w:p>
      <w:pPr>
        <w:pStyle w:val="Heading2"/>
      </w:pPr>
      <w:r>
        <w:t xml:space="preserve">A conjecture about population immunity</w:t>
      </w:r>
    </w:p>
    <w:p>
      <w:pPr>
        <w:pStyle w:val="FirstParagraph"/>
      </w:pPr>
      <w:r>
        <w:t xml:space="preserve">The following evolutionary argument is conjectural. Assume that viruses between types tend to be less intrinsically fit, but are more likely to persist transiently when population immunity is heterogeneous across serotypes. Before vaccination, outbreaks often came in seasonal waves of a single serotype, at least in wealthier communities where paralysis was more common because the age of infection was older. A town that had experienced type 1 but not type 2 for several years would have children with heterogeneous immunity across the two types. Under that condition, a type 1 virus might do better if it were a little more type-2-like. Per could be a virus like that.</w:t>
      </w:r>
    </w:p>
    <w:p>
      <w:pPr>
        <w:pStyle w:val="BodyText"/>
      </w:pPr>
      <w:r>
        <w:t xml:space="preserve">All the permutations are possible in principle. The condition that matters is the existence of places where a serotype skips years: population immunity can then select for viruses drifting off-type among those that persist through the endemic low periods. Trivalent vaccination changed that condition. Most people were immunized with all three strains at the same time early in life, and population-level heterogeneity across serotypes became much lower.</w:t>
      </w:r>
    </w:p>
    <w:bookmarkEnd w:id="16"/>
    <w:bookmarkStart w:id="17" w:name="why-the-question-is-live-again"/>
    <w:p>
      <w:pPr>
        <w:pStyle w:val="Heading2"/>
      </w:pPr>
      <w:r>
        <w:t xml:space="preserve">Why the question is live again</w:t>
      </w:r>
    </w:p>
    <w:p>
      <w:pPr>
        <w:pStyle w:val="FirstParagraph"/>
      </w:pPr>
      <w:r>
        <w:t xml:space="preserve">Modern wild polioviruses are under strong purifying selection and do not drift far antigenically for long, although titers around the reference strains routinely vary by factors of four to eight. Between only sequencing, basing intratypic differentiation on VP1, and assuming that between-serotype viruses are less fit, the people running the typing assays have never seen one in their lives.</w:t>
      </w:r>
    </w:p>
    <w:p>
      <w:pPr>
        <w:pStyle w:val="BodyText"/>
      </w:pPr>
      <w:r>
        <w:t xml:space="preserve">Withdrawal of the type 2 vaccine is now making population immunity across serotypes much more heterogeneous, while the standing genetic diversity of wild poliovirus remains very small. Looking at the historical data, cross-protection from bOPV against type 2, my colleague’s review of similar early data, and her modern work on enterovirus cross-reactivity, I conclude that after a few years we should start to notice viruses that sit between serotypes. The idea that a poliovirus can be</w:t>
      </w:r>
      <w:r>
        <w:t xml:space="preserve"> </w:t>
      </w:r>
      <w:r>
        <w:t xml:space="preserve">“mostly type 1 with a little bit of type 2”</w:t>
      </w:r>
      <w:r>
        <w:t xml:space="preserve"> </w:t>
      </w:r>
      <w:r>
        <w:t xml:space="preserve">should not be surprising at all.</w:t>
      </w:r>
    </w:p>
    <w:bookmarkEnd w:id="17"/>
    <w:bookmarkStart w:id="18" w:name="provenance-and-disclosure"/>
    <w:p>
      <w:pPr>
        <w:pStyle w:val="Heading2"/>
      </w:pPr>
      <w:r>
        <w:t xml:space="preserve">Provenance and disclosure</w:t>
      </w:r>
    </w:p>
    <w:p>
      <w:pPr>
        <w:pStyle w:val="FirstParagraph"/>
      </w:pPr>
      <w:r>
        <w:t xml:space="preserve">Prepared with AI assistance from a single, lightly redacted source email (</w:t>
      </w:r>
      <w:r>
        <w:rPr>
          <w:rStyle w:val="VerbatimChar"/>
        </w:rPr>
        <w:t xml:space="preserve">raw_source_serotype-fuzziness.md</w:t>
      </w:r>
      <w:r>
        <w:t xml:space="preserve">) through the shared verbatim substrate in</w:t>
      </w:r>
      <w:r>
        <w:t xml:space="preserve"> </w:t>
      </w:r>
      <w:r>
        <w:rPr>
          <w:rStyle w:val="VerbatimChar"/>
        </w:rPr>
        <w:t xml:space="preserve">04_frankendraft.md</w:t>
      </w:r>
      <w:r>
        <w:t xml:space="preserve">. The assistant transported the author’s spans into a formal register and generated bounded connective framing. Citation verification is recorded in</w:t>
      </w:r>
      <w:r>
        <w:t xml:space="preserve"> </w:t>
      </w:r>
      <w:r>
        <w:rPr>
          <w:rStyle w:val="VerbatimChar"/>
        </w:rPr>
        <w:t xml:space="preserve">07_bibliography.md</w:t>
      </w:r>
      <w:r>
        <w:t xml:space="preserve">; per-claim evidence status is recorded separately in</w:t>
      </w:r>
      <w:r>
        <w:t xml:space="preserve"> </w:t>
      </w:r>
      <w:r>
        <w:rPr>
          <w:rStyle w:val="VerbatimChar"/>
        </w:rPr>
        <w:t xml:space="preserve">06_claim-ledger.md</w:t>
      </w:r>
      <w:r>
        <w:t xml:space="preserve">. The Per and Kotter interpretations remain the author’s reading of the primary tables, while the four-of-fourteen sequencing count is an author-sourced domain claim with limited external verification. The original autonomous demo allowed the assistant to simulate human decisions; that simulation is part of the workflow record, not evidence of author approval.</w:t>
      </w:r>
    </w:p>
    <w:p>
      <w:r>
        <w:pict>
          <v:rect style="width:0;height:1.5pt" o:hralign="center" o:hrstd="t" o:hr="t"/>
        </w:pict>
      </w:r>
    </w:p>
    <w:bookmarkEnd w:id="18"/>
    <w:bookmarkEnd w:id="19"/>
    <w:sectPr>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Bodian D, Morgan IM, Howe HA. Differentiation of types of poliomyelitis viruses. III. The grouping of fourteen strains into three basic immunological types.</w:t>
      </w:r>
      <w:r>
        <w:t xml:space="preserve"> </w:t>
      </w:r>
      <w:r>
        <w:rPr>
          <w:i/>
          <w:iCs/>
        </w:rPr>
        <w:t xml:space="preserve">Am J Hyg.</w:t>
      </w:r>
      <w:r>
        <w:t xml:space="preserve"> </w:t>
      </w:r>
      <w:r>
        <w:t xml:space="preserve">1949;49(2):234-245.</w:t>
      </w:r>
      <w:r>
        <w:t xml:space="preserve"> </w:t>
      </w:r>
      <w:hyperlink r:id="rId11">
        <w:r>
          <w:rPr>
            <w:rStyle w:val="Hyperlink"/>
          </w:rPr>
          <w:t xml:space="preserve">PubMed 18113220</w:t>
        </w:r>
      </w:hyperlink>
      <w:r>
        <w:t xml:space="preserve">. The three-type scheme was foreshadowed by Burnet and Macnamara’s 1931 demonstration of poliovirus antigenic types and confirmed by the NFIP typing committee around 1951; the 1949 series formalized the grouping used here. The Per grouping is the author’s reading of the primary table.</w:t>
      </w:r>
    </w:p>
  </w:footnote>
  <w:footnote w:id="12">
    <w:p>
      <w:pPr>
        <w:pStyle w:val="FootnoteText"/>
      </w:pPr>
      <w:r>
        <w:rPr>
          <w:rStyle w:val="FootnoteReference"/>
        </w:rPr>
        <w:footnoteRef/>
      </w:r>
      <w:r>
        <w:t xml:space="preserve"> </w:t>
      </w:r>
      <w:r>
        <w:t xml:space="preserve">Morgan IM. Differentiation of types of poliomyelitis viruses. II. By reciprocal vaccination-immunity experiments.</w:t>
      </w:r>
      <w:r>
        <w:t xml:space="preserve"> </w:t>
      </w:r>
      <w:r>
        <w:rPr>
          <w:i/>
          <w:iCs/>
        </w:rPr>
        <w:t xml:space="preserve">Am J Hyg.</w:t>
      </w:r>
      <w:r>
        <w:t xml:space="preserve"> </w:t>
      </w:r>
      <w:r>
        <w:t xml:space="preserve">1949;49(2):225-233.</w:t>
      </w:r>
      <w:r>
        <w:t xml:space="preserve"> </w:t>
      </w:r>
      <w:hyperlink r:id="rId13">
        <w:r>
          <w:rPr>
            <w:rStyle w:val="Hyperlink"/>
          </w:rPr>
          <w:t xml:space="preserve">PubMed 18124443</w:t>
        </w:r>
      </w:hyperlink>
      <w:r>
        <w:t xml:space="preserve">. The Kotter grouping and cross-protection details are the author’s reading of the primary 1949 table; they are not independently attested in the indexed secondary literature.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xmlns:w14="http://schemas.microsoft.com/office/word/2010/wordml">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next w:val="Normal"/>
    <w:link w:val="BodyTextChar"/>
    <w:qFormat/>
  </w:style>
  <w:style w:customStyle="1" w:styleId="FirstParagraph" w:type="paragraph">
    <w:name w:val="First Paragraph"/>
    <w:basedOn w:val="Normal"/>
    <w:next w:val="Normal"/>
    <w:qFormat/>
  </w:style>
  <w:style w:customStyle="1" w:styleId="Compact" w:type="paragraph">
    <w:name w:val="Compact"/>
    <w:basedOn w:val="Normal"/>
    <w:next w:val="Normal"/>
    <w:qFormat/>
  </w:style>
  <w:style w:styleId="Title" w:type="paragraph">
    <w:name w:val="Title"/>
    <w:basedOn w:val="Normal"/>
    <w:next w:val="Normal"/>
    <w:link w:val="TitleChar"/>
    <w:uiPriority w:val="10"/>
    <w:qFormat/>
    <w:rsid w:val="00236C27"/>
    <w:pPr>
      <w:spacing w:after="80" w:line="240" w:lineRule="auto"/>
      <w:contextualSpacing/>
    </w:pPr>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236C27"/>
    <w:pPr>
      <w:numPr>
        <w:ilvl w:val="1"/>
      </w:numPr>
    </w:pPr>
    <w:rPr>
      <w:rFonts w:cstheme="majorBidi" w:eastAsiaTheme="majorEastAsia"/>
      <w:color w:themeColor="text1" w:themeTint="A6" w:val="595959"/>
      <w:spacing w:val="15"/>
      <w:sz w:val="28"/>
      <w:szCs w:val="28"/>
    </w:rPr>
  </w:style>
  <w:style w:customStyle="1" w:styleId="Author" w:type="paragraph">
    <w:name w:val="Author"/>
    <w:basedOn w:val="Normal"/>
    <w:next w:val="Normal"/>
    <w:qFormat/>
    <w:pPr>
      <w:keepNext/>
      <w:keepLines/>
    </w:pPr>
  </w:style>
  <w:style w:styleId="Date" w:type="paragraph">
    <w:name w:val="Date"/>
    <w:basedOn w:val="Normal"/>
    <w:next w:val="Normal"/>
    <w:qFormat/>
    <w:pPr>
      <w:keepNext/>
      <w:keepLines/>
    </w:pPr>
  </w:style>
  <w:style w:customStyle="1" w:styleId="AbstractTitle" w:type="paragraph">
    <w:name w:val="Abstract Title"/>
    <w:basedOn w:val="Normal"/>
    <w:next w:val="Normal"/>
    <w:qFormat/>
    <w:pPr>
      <w:keepNext/>
      <w:keepLines/>
      <w:spacing w:after="0" w:before="300"/>
      <w:jc w:val="center"/>
    </w:pPr>
  </w:style>
  <w:style w:customStyle="1" w:styleId="Abstract" w:type="paragraph">
    <w:name w:val="Abstract"/>
    <w:basedOn w:val="Normal"/>
    <w:next w:val="Normal"/>
    <w:qFormat/>
    <w:pPr>
      <w:keepNext/>
      <w:keepLines/>
      <w:spacing w:after="300" w:before="100"/>
    </w:pPr>
  </w:style>
  <w:style w:styleId="Bibliography" w:type="paragraph">
    <w:name w:val="Bibliography"/>
    <w:basedOn w:val="Normal"/>
    <w:next w:val="Normal"/>
    <w:qFormat/>
    <w:pPr/>
  </w:style>
  <w:style w:styleId="Heading1" w:type="paragraph">
    <w:name w:val="heading 1"/>
    <w:basedOn w:val="Normal"/>
    <w:next w:val="Normal"/>
    <w:link w:val="Heading1Char"/>
    <w:uiPriority w:val="9"/>
    <w:qFormat/>
    <w:rsid w:val="00236C27"/>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Normal"/>
    <w:link w:val="Heading2Char"/>
    <w:uiPriority w:val="9"/>
    <w:semiHidden/>
    <w:unhideWhenUsed/>
    <w:qFormat/>
    <w:rsid w:val="00236C27"/>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Normal"/>
    <w:link w:val="Heading3Char"/>
    <w:uiPriority w:val="9"/>
    <w:semiHidden/>
    <w:unhideWhenUsed/>
    <w:qFormat/>
    <w:rsid w:val="00236C27"/>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semiHidden/>
    <w:unhideWhenUsed/>
    <w:qFormat/>
    <w:rsid w:val="00236C27"/>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236C27"/>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236C27"/>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236C27"/>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236C27"/>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236C27"/>
    <w:pPr>
      <w:keepNext/>
      <w:keepLines/>
      <w:spacing w:after="0"/>
      <w:outlineLvl w:val="8"/>
    </w:pPr>
    <w:rPr>
      <w:rFonts w:cstheme="majorBidi" w:eastAsiaTheme="majorEastAsia"/>
      <w:color w:themeColor="text1" w:themeTint="D8" w:val="272727"/>
    </w:rPr>
  </w:style>
  <w:style w:styleId="BlockText" w:type="paragraph">
    <w:name w:val="Block Text"/>
    <w:basedOn w:val="Normal"/>
    <w:next w:val="Normal"/>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uiPriority w:val="1"/>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Normal"/>
    <w:pPr>
      <w:keepNext/>
      <w:keepLines/>
      <w:spacing w:after="0"/>
    </w:pPr>
  </w:style>
  <w:style w:customStyle="1" w:styleId="Definition" w:type="paragraph">
    <w:name w:val="Definition"/>
    <w:basedOn w:val="Normal"/>
    <w:next w:val="Normal"/>
  </w:style>
  <w:style w:styleId="Caption" w:type="paragraph">
    <w:name w:val="Caption"/>
    <w:basedOn w:val="Normal"/>
    <w:next w:val="Normal"/>
    <w:link w:val="BodyTextChar"/>
    <w:pPr>
      <w:spacing w:after="120" w:before="0"/>
    </w:pPr>
  </w:style>
  <w:style w:customStyle="1" w:styleId="TableCaption" w:type="paragraph">
    <w:name w:val="Table Caption"/>
    <w:basedOn w:val="Normal"/>
    <w:next w:val="Normal"/>
    <w:pPr>
      <w:keepNext/>
    </w:pPr>
  </w:style>
  <w:style w:customStyle="1" w:styleId="ImageCaption" w:type="paragraph">
    <w:name w:val="Image Caption"/>
    <w:basedOn w:val="Normal"/>
    <w:next w:val="Normal"/>
  </w:style>
  <w:style w:customStyle="1" w:styleId="Figure" w:type="paragraph">
    <w:name w:val="Figure"/>
    <w:basedOn w:val="Normal"/>
    <w:next w:val="Normal"/>
  </w:style>
  <w:style w:customStyle="1" w:styleId="CaptionedFigure" w:type="paragraph">
    <w:name w:val="Captioned Figure"/>
    <w:basedOn w:val="Normal"/>
    <w:next w:val="Normal"/>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Normal"/>
    <w:next w:val="Normal"/>
    <w:uiPriority w:val="39"/>
    <w:unhideWhenUsed/>
    <w:qFormat/>
    <w:pPr>
      <w:spacing w:before="240" w:line="259" w:lineRule="auto"/>
      <w:outlineLvl w:val="9"/>
    </w:p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236C27"/>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236C27"/>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236C27"/>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236C27"/>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236C27"/>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236C27"/>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236C27"/>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236C27"/>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236C27"/>
    <w:rPr>
      <w:rFonts w:cstheme="majorBidi" w:eastAsiaTheme="majorEastAsia"/>
      <w:color w:themeColor="text1" w:themeTint="D8" w:val="272727"/>
    </w:rPr>
  </w:style>
  <w:style w:customStyle="1" w:styleId="TitleChar" w:type="character">
    <w:name w:val="Title Char"/>
    <w:basedOn w:val="DefaultParagraphFont"/>
    <w:link w:val="Title"/>
    <w:uiPriority w:val="10"/>
    <w:rsid w:val="00236C27"/>
    <w:rPr>
      <w:rFonts w:asciiTheme="majorHAnsi" w:cstheme="majorBidi" w:eastAsiaTheme="majorEastAsia" w:hAnsiTheme="majorHAnsi"/>
      <w:spacing w:val="-10"/>
      <w:kern w:val="28"/>
      <w:sz w:val="56"/>
      <w:szCs w:val="56"/>
    </w:rPr>
  </w:style>
  <w:style w:customStyle="1" w:styleId="SubtitleChar" w:type="character">
    <w:name w:val="Subtitle Char"/>
    <w:basedOn w:val="DefaultParagraphFont"/>
    <w:link w:val="Subtitle"/>
    <w:uiPriority w:val="11"/>
    <w:rsid w:val="00236C27"/>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236C27"/>
    <w:pPr>
      <w:spacing w:before="160"/>
      <w:jc w:val="center"/>
    </w:pPr>
    <w:rPr>
      <w:i/>
      <w:iCs/>
      <w:color w:themeColor="text1" w:themeTint="BF" w:val="404040"/>
    </w:rPr>
  </w:style>
  <w:style w:customStyle="1" w:styleId="QuoteChar" w:type="character">
    <w:name w:val="Quote Char"/>
    <w:basedOn w:val="DefaultParagraphFont"/>
    <w:link w:val="Quote"/>
    <w:uiPriority w:val="29"/>
    <w:rsid w:val="00236C27"/>
    <w:rPr>
      <w:i/>
      <w:iCs/>
      <w:color w:themeColor="text1" w:themeTint="BF" w:val="404040"/>
    </w:rPr>
  </w:style>
  <w:style w:styleId="ListParagraph" w:type="paragraph">
    <w:name w:val="List Paragraph"/>
    <w:basedOn w:val="Normal"/>
    <w:uiPriority w:val="34"/>
    <w:qFormat/>
    <w:rsid w:val="00236C27"/>
    <w:pPr>
      <w:ind w:left="720"/>
      <w:contextualSpacing/>
    </w:pPr>
  </w:style>
  <w:style w:styleId="IntenseEmphasis" w:type="character">
    <w:name w:val="Intense Emphasis"/>
    <w:basedOn w:val="DefaultParagraphFont"/>
    <w:uiPriority w:val="21"/>
    <w:qFormat/>
    <w:rsid w:val="00236C27"/>
    <w:rPr>
      <w:i/>
      <w:iCs/>
      <w:color w:themeColor="accent1" w:themeShade="BF" w:val="0F4761"/>
    </w:rPr>
  </w:style>
  <w:style w:styleId="IntenseQuote" w:type="paragraph">
    <w:name w:val="Intense Quote"/>
    <w:basedOn w:val="Normal"/>
    <w:next w:val="Normal"/>
    <w:link w:val="IntenseQuoteChar"/>
    <w:uiPriority w:val="30"/>
    <w:qFormat/>
    <w:rsid w:val="00236C27"/>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236C27"/>
    <w:rPr>
      <w:i/>
      <w:iCs/>
      <w:color w:themeColor="accent1" w:themeShade="BF" w:val="0F4761"/>
    </w:rPr>
  </w:style>
  <w:style w:styleId="IntenseReference" w:type="character">
    <w:name w:val="Intense Reference"/>
    <w:basedOn w:val="DefaultParagraphFont"/>
    <w:uiPriority w:val="32"/>
    <w:qFormat/>
    <w:rsid w:val="00236C27"/>
    <w:rPr>
      <w:b/>
      <w:bCs/>
      <w:smallCaps/>
      <w:color w:themeColor="accent1" w:themeShade="BF" w:val="0F4761"/>
      <w:spacing w:val="5"/>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pubmed.ncbi.nlm.nih.gov/18113220/" TargetMode="External" /><Relationship Type="http://schemas.openxmlformats.org/officeDocument/2006/relationships/hyperlink" Id="rId13" Target="https://pubmed.ncbi.nlm.nih.gov/18124443/" TargetMode="External" /></Relationships>
</file>

<file path=word/_rels/footnotes.xml.rels><?xml version="1.0" encoding="UTF-8"?><Relationships xmlns="http://schemas.openxmlformats.org/package/2006/relationships"><Relationship Type="http://schemas.openxmlformats.org/officeDocument/2006/relationships/hyperlink" Id="rId11" Target="https://pubmed.ncbi.nlm.nih.gov/18113220/" TargetMode="External" /><Relationship Type="http://schemas.openxmlformats.org/officeDocument/2006/relationships/hyperlink" Id="rId13" Target="https://pubmed.ncbi.nlm.nih.gov/1812444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2026-07-13T16:41:46Z</dcterms:created>
  <dcterms:modified xsi:type="dcterms:W3CDTF">2026-07-13T16:41:46Z</dcterms:modified>
</cp:coreProperties>
</file>

<file path=docProps/custom.xml><?xml version="1.0" encoding="utf-8"?>
<Properties xmlns="http://schemas.openxmlformats.org/officeDocument/2006/custom-properties" xmlns:vt="http://schemas.openxmlformats.org/officeDocument/2006/docPropsVTypes"/>
</file>