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c7d857aecd4ac4b9185bf5f4239b06b82af3d14"/>
    <w:p>
      <w:pPr>
        <w:pStyle w:val="Heading1"/>
      </w:pPr>
      <w:r>
        <w:t xml:space="preserve">Way back in the day, they knew poliovirus serotypes were fuzzy</w:t>
      </w:r>
    </w:p>
    <w:p>
      <w:pPr>
        <w:pStyle w:val="FirstParagraph"/>
      </w:pPr>
      <w:r>
        <w:t xml:space="preserve">So I had some fun with volume 49, issue 2 of the</w:t>
      </w:r>
      <w:r>
        <w:t xml:space="preserve"> </w:t>
      </w:r>
      <w:r>
        <w:rPr>
          <w:i/>
          <w:iCs/>
        </w:rPr>
        <w:t xml:space="preserve">American Journal of Hygiene</w:t>
      </w:r>
      <w:r>
        <w:t xml:space="preserve"> </w:t>
      </w:r>
      <w:r>
        <w:t xml:space="preserve">from 1949. Turns out, way back in the day, they knew serotypes were fuzzy. We’re only surprised because developments since the 1950s largely defined away the evidence for fuzzy serotypes.</w:t>
      </w:r>
    </w:p>
    <w:p>
      <w:pPr>
        <w:pStyle w:val="BodyText"/>
      </w:pPr>
      <w:r>
        <w:t xml:space="preserve">First, all credit to a virologist colleague, Amy Rosenfeld. Her work on cross-reactive antibodies had sent her back to the old literature, and listening to her sent me there too. This is a part of the literature I’d spent zero time with before this, so that is really fun. I’d figured I didn’t need to know how we figured out what polio was in the first place.</w:t>
      </w:r>
    </w:p>
    <w:p>
      <w:pPr>
        <w:pStyle w:val="BodyText"/>
      </w:pPr>
      <w:r>
        <w:t xml:space="preserve">She said that in the old literature, you can see people figuring out what serotypes were by measuring cross-immunity with lots of monkeys. The existence of significant cross-immunity is counter to the dogma as represented by everything most of us were taught. The virologists in the eradication program inherited that dogma in the early 1980s or later: two to four generations after people like Bodian worked out what polio is, and a generation after the assays and reagents were standardized. You can see where this is going.</w:t>
      </w:r>
    </w:p>
    <w:bookmarkStart w:id="11" w:name="bodian-1949"/>
    <w:p>
      <w:pPr>
        <w:pStyle w:val="Heading2"/>
      </w:pPr>
      <w:r>
        <w:t xml:space="preserve">Bodian 1949</w:t>
      </w:r>
    </w:p>
    <w:p>
      <w:pPr>
        <w:pStyle w:val="FirstParagraph"/>
      </w:pPr>
      <w:r>
        <w:t xml:space="preserve">Bodian, Morgan, and Howe established the three-type scheme in 1949.</w:t>
      </w:r>
      <w:r>
        <w:rPr>
          <w:rStyle w:val="FootnoteReference"/>
        </w:rPr>
        <w:footnoteReference w:id="9"/>
      </w:r>
      <w:r>
        <w:t xml:space="preserve"> </w:t>
      </w:r>
      <w:r>
        <w:t xml:space="preserve">Back then, strains still had names associated with their origins. MEF-1 was named after the Middle East Forces of the British Army, where an outbreak among servicemen took place in 1942. Table 1 is a hoot if you’re interested in this history. Table 2 is super interesting too: the monkey neurovirulence dose varies by almost four orders of magnitude. Lord knows what those viral stocks went through over the years, but naturally occurring strains also had measurably different virulence. Everything is less black and white than the dogma today.</w:t>
      </w:r>
    </w:p>
    <w:p>
      <w:pPr>
        <w:pStyle w:val="BodyText"/>
      </w:pPr>
      <w:r>
        <w:t xml:space="preserve">The archetypes were Brunhilde (type 1), Lansing (type 2), and Leon (type 3). The normal pattern is that monkeys immunized with Lansing do not get paralyzed when challenged with other Lansing-like viruses, but they get paralyzed at about the same rate as unimmunized controls when challenged with Brunhilde-like viruses. And vice versa.</w:t>
      </w:r>
    </w:p>
    <w:bookmarkEnd w:id="11"/>
    <w:bookmarkStart w:id="14" w:name="but-there-are-exceptions"/>
    <w:p>
      <w:pPr>
        <w:pStyle w:val="Heading2"/>
      </w:pPr>
      <w:r>
        <w:t xml:space="preserve">BUT, there are exceptions</w:t>
      </w:r>
    </w:p>
    <w:p>
      <w:pPr>
        <w:pStyle w:val="FirstParagraph"/>
      </w:pPr>
      <w:r>
        <w:t xml:space="preserve">Per reportedly came from a three-year-old girl who died in West Virginia in 1940; Albert Sabin performed the autopsy. I’m legit tearing up at this; I’m emotional about this stuff these days. Monkeys immunized against type 1 were completely protected when challenged with Per, but type 2 immunization also provided significant cross-protection. They group it as type 1, but it’s in the middle.</w:t>
      </w:r>
    </w:p>
    <w:p>
      <w:pPr>
        <w:pStyle w:val="BodyText"/>
      </w:pPr>
      <w:r>
        <w:t xml:space="preserve">I also flagged Kotter because it comes up again in Morgan’s companion paper.</w:t>
      </w:r>
      <w:r>
        <w:rPr>
          <w:rStyle w:val="FootnoteReference"/>
        </w:rPr>
        <w:footnoteReference w:id="12"/>
      </w:r>
      <w:r>
        <w:t xml:space="preserve"> </w:t>
      </w:r>
      <w:r>
        <w:t xml:space="preserve">With one table, you could call the partial cross-protection noise. But in Morgan, Kotter is symmetrically in the middle of type 1 and type 2: immunizing with Kotter looks somewhat protective against Lansing, just as immunizing with Lansing looks somewhat protective against Kotter.</w:t>
      </w:r>
    </w:p>
    <w:p>
      <w:pPr>
        <w:pStyle w:val="BodyText"/>
      </w:pPr>
      <w:r>
        <w:t xml:space="preserve">I certainly can’t rule out sampling variation or lab error or whatever. But across many years of looking at tables like this, assays with the same strain are usually reproducible to within one monkey across papers. Two of six when the expectation is six of six is weird.</w:t>
      </w:r>
    </w:p>
    <w:bookmarkEnd w:id="14"/>
    <w:bookmarkStart w:id="15" w:name="how-the-fuzziness-got-defined-away"/>
    <w:p>
      <w:pPr>
        <w:pStyle w:val="Heading2"/>
      </w:pPr>
      <w:r>
        <w:t xml:space="preserve">How the fuzziness got defined away</w:t>
      </w:r>
    </w:p>
    <w:p>
      <w:pPr>
        <w:pStyle w:val="FirstParagraph"/>
      </w:pPr>
      <w:r>
        <w:t xml:space="preserve">I realize this is old data and small N. It comes from an era when genetic diversity was high, population immunity across serotypes was not synchronized by trivalent vaccines, and the assays and algorithms had not yet been defined to remove ambiguity among serotypes.</w:t>
      </w:r>
    </w:p>
    <w:p>
      <w:pPr>
        <w:pStyle w:val="BodyText"/>
      </w:pPr>
      <w:r>
        <w:t xml:space="preserve">In the early 1950s, cell culture and this understanding of serotypes were standardized for vaccine development. Labs stopped looking at most of the old strains isolated in monkeys and standardized tests around Mahoney or Brunhilde (type 1), Lansing (type 2), and Leon (type 3). Most of the other isolates with names we have never heard of disappear from the literature. Of the fourteen strains in Bodian’s list, only four survived to be sequenced in the 1980s and 1990s: Brunhilde, Lansing, MEF-1, and Leon.</w:t>
      </w:r>
    </w:p>
    <w:p>
      <w:pPr>
        <w:pStyle w:val="BodyText"/>
      </w:pPr>
      <w:r>
        <w:t xml:space="preserve">If you’re vaccinating against three types, none of this nuance matters. But in the canonizing of stylized facts, we lost the common knowledge that the story is fuzzy.</w:t>
      </w:r>
    </w:p>
    <w:p>
      <w:pPr>
        <w:pStyle w:val="BodyText"/>
      </w:pPr>
      <w:r>
        <w:t xml:space="preserve">I look at this, plus our experience with cross-protection from bOPV against type 2, plus my colleague’s review of similar early data and her modern work on cross-reactivity in the enterovirus family, and conclude that a poliovirus being</w:t>
      </w:r>
      <w:r>
        <w:t xml:space="preserve"> </w:t>
      </w:r>
      <w:r>
        <w:t xml:space="preserve">“mostly type 1 with a little bit of type 2”</w:t>
      </w:r>
      <w:r>
        <w:t xml:space="preserve"> </w:t>
      </w:r>
      <w:r>
        <w:t xml:space="preserve">should not be surprising at all.</w:t>
      </w:r>
    </w:p>
    <w:bookmarkEnd w:id="15"/>
    <w:bookmarkStart w:id="16" w:name="what-does-history-look-like"/>
    <w:p>
      <w:pPr>
        <w:pStyle w:val="Heading2"/>
      </w:pPr>
      <w:r>
        <w:t xml:space="preserve">What does history look like?</w:t>
      </w:r>
    </w:p>
    <w:p>
      <w:pPr>
        <w:pStyle w:val="FirstParagraph"/>
      </w:pPr>
      <w:r>
        <w:t xml:space="preserve">It is really interesting to speculate about the evolutionary dynamics. Let’s assume that viruses between types tend to be less intrinsically fit, but are more likely to persist at least transiently when population immunity is heterogeneous across serotypes.</w:t>
      </w:r>
    </w:p>
    <w:p>
      <w:pPr>
        <w:pStyle w:val="BodyText"/>
      </w:pPr>
      <w:r>
        <w:t xml:space="preserve">Before vaccination, outbreaks tended to come in seasonal waves of a given serotype, at least in richer communities where the age of infection was older and paralysis more common. Poorer communities like Houston in the mid-1950s had every serotype every year. Any given town could therefore have fairly heterogeneous immunity among children. If last year’s outbreak was type 1 in a place that had not seen type 2 for a few years, then this year’s type 1 might do better if it were a little more type-2-like. Per could be a virus like that, immunizing against type 1 and a bit against type 2.</w:t>
      </w:r>
    </w:p>
    <w:p>
      <w:pPr>
        <w:pStyle w:val="BodyText"/>
      </w:pPr>
      <w:r>
        <w:t xml:space="preserve">All the permutations are possible in principle. The key thing is that, as long as there are towns where serotypes do not hit every year, population immunity can select for viruses drifting off-type among those that persist through the endemic low periods.</w:t>
      </w:r>
    </w:p>
    <w:p>
      <w:pPr>
        <w:pStyle w:val="BodyText"/>
      </w:pPr>
      <w:r>
        <w:t xml:space="preserve">Then trivalent vaccines show up. Most people get immunized with all three strains at the same time early in life, and population-level heterogeneity becomes much lower. In the modern era, wild polioviruses are under very strong purifying selection and don’t drift far antigenically for long, although titers around the reference strains vary by factors of four to eight all the time when we look. Between only sequencing, basing intratypic differentiation on VP1, and assuming that between-serotype viruses are less fit, the people running the typing assays have never seen one in their lives.</w:t>
      </w:r>
    </w:p>
    <w:p>
      <w:pPr>
        <w:pStyle w:val="BodyText"/>
      </w:pPr>
      <w:r>
        <w:t xml:space="preserve">And then we drop the type 2 vaccine. Population immunity across serotypes becomes much more heterogeneous than ever before, but the genetic diversity of wild poliovirus is incredibly small. So after a few years, we should start to notice viruses that are between serotype.</w:t>
      </w:r>
    </w:p>
    <w:p>
      <w:r>
        <w:pict>
          <v:rect style="width:0;height:1.5pt" o:hralign="center" o:hrstd="t" o:hr="t"/>
        </w:pict>
      </w:r>
    </w:p>
    <w:p>
      <w:pPr>
        <w:pStyle w:val="FirstParagraph"/>
      </w:pPr>
      <w:r>
        <w:rPr>
          <w:i/>
          <w:iCs/>
        </w:rPr>
        <w:t xml:space="preserve">Prepared with AI assistance as a parallel transport from a single source email, with the email controlling voice and the hardened scientific record controlling factual corrections and claim strength. The Per and Kotter interpretations remain my reading of the primary tables; the four-of-fourteen count is an author-sourced domain claim with limited external verification. The conjecture is labeled as conjecture on purpose.</w:t>
      </w:r>
    </w:p>
    <w:bookmarkEnd w:id="16"/>
    <w:bookmarkEnd w:id="17"/>
    <w:sectPr>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Bodian D, Morgan IM, Howe HA.</w:t>
      </w:r>
      <w:r>
        <w:t xml:space="preserve"> </w:t>
      </w:r>
      <w:r>
        <w:t xml:space="preserve">“Differentiation of types of poliomyelitis viruses. III. The grouping of fourteen strains into three basic immunological types.”</w:t>
      </w:r>
      <w:r>
        <w:t xml:space="preserve"> </w:t>
      </w:r>
      <w:r>
        <w:rPr>
          <w:i/>
          <w:iCs/>
        </w:rPr>
        <w:t xml:space="preserve">Am J Hyg.</w:t>
      </w:r>
      <w:r>
        <w:t xml:space="preserve"> </w:t>
      </w:r>
      <w:r>
        <w:t xml:space="preserve">1949;49(2):234-245.</w:t>
      </w:r>
      <w:r>
        <w:t xml:space="preserve"> </w:t>
      </w:r>
      <w:hyperlink r:id="rId10">
        <w:r>
          <w:rPr>
            <w:rStyle w:val="Hyperlink"/>
          </w:rPr>
          <w:t xml:space="preserve">PubMed 18113220</w:t>
        </w:r>
      </w:hyperlink>
      <w:r>
        <w:t xml:space="preserve">. The Per grouping is my reading of the primary table; the four-of-fourteen sequencing count is an author-sourced domain claim with limited external verification.</w:t>
      </w:r>
    </w:p>
  </w:footnote>
  <w:footnote w:id="12">
    <w:p>
      <w:pPr>
        <w:pStyle w:val="FootnoteText"/>
      </w:pPr>
      <w:r>
        <w:rPr>
          <w:rStyle w:val="FootnoteReference"/>
        </w:rPr>
        <w:footnoteRef/>
      </w:r>
      <w:r>
        <w:t xml:space="preserve"> </w:t>
      </w:r>
      <w:r>
        <w:t xml:space="preserve">Morgan IM.</w:t>
      </w:r>
      <w:r>
        <w:t xml:space="preserve"> </w:t>
      </w:r>
      <w:r>
        <w:t xml:space="preserve">“Differentiation of types of poliomyelitis viruses. II. By reciprocal vaccination-immunity experiments.”</w:t>
      </w:r>
      <w:r>
        <w:t xml:space="preserve"> </w:t>
      </w:r>
      <w:r>
        <w:rPr>
          <w:i/>
          <w:iCs/>
        </w:rPr>
        <w:t xml:space="preserve">Am J Hyg.</w:t>
      </w:r>
      <w:r>
        <w:t xml:space="preserve"> </w:t>
      </w:r>
      <w:r>
        <w:t xml:space="preserve">1949;49(2):225-233.</w:t>
      </w:r>
      <w:r>
        <w:t xml:space="preserve"> </w:t>
      </w:r>
      <w:hyperlink r:id="rId13">
        <w:r>
          <w:rPr>
            <w:rStyle w:val="Hyperlink"/>
          </w:rPr>
          <w:t xml:space="preserve">PubMed 18124443</w:t>
        </w:r>
      </w:hyperlink>
      <w:r>
        <w:t xml:space="preserve">. The Kotter interpretation is my reading of the primary table.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xmlns:w14="http://schemas.microsoft.com/office/word/2010/wordml">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next w:val="Normal"/>
    <w:link w:val="BodyTextChar"/>
    <w:qFormat/>
  </w:style>
  <w:style w:customStyle="1" w:styleId="FirstParagraph" w:type="paragraph">
    <w:name w:val="First Paragraph"/>
    <w:basedOn w:val="Normal"/>
    <w:next w:val="Normal"/>
    <w:qFormat/>
  </w:style>
  <w:style w:customStyle="1" w:styleId="Compact" w:type="paragraph">
    <w:name w:val="Compact"/>
    <w:basedOn w:val="Normal"/>
    <w:next w:val="Normal"/>
    <w:qFormat/>
  </w:style>
  <w:style w:styleId="Title" w:type="paragraph">
    <w:name w:val="Title"/>
    <w:basedOn w:val="Normal"/>
    <w:next w:val="Normal"/>
    <w:link w:val="TitleChar"/>
    <w:uiPriority w:val="10"/>
    <w:qFormat/>
    <w:rsid w:val="00236C27"/>
    <w:pPr>
      <w:spacing w:after="80" w:line="240" w:lineRule="auto"/>
      <w:contextualSpacing/>
    </w:pPr>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236C27"/>
    <w:pPr>
      <w:numPr>
        <w:ilvl w:val="1"/>
      </w:numPr>
    </w:pPr>
    <w:rPr>
      <w:rFonts w:cstheme="majorBidi" w:eastAsiaTheme="majorEastAsia"/>
      <w:color w:themeColor="text1" w:themeTint="A6" w:val="595959"/>
      <w:spacing w:val="15"/>
      <w:sz w:val="28"/>
      <w:szCs w:val="28"/>
    </w:rPr>
  </w:style>
  <w:style w:customStyle="1" w:styleId="Author" w:type="paragraph">
    <w:name w:val="Author"/>
    <w:basedOn w:val="Normal"/>
    <w:next w:val="Normal"/>
    <w:qFormat/>
    <w:pPr>
      <w:keepNext/>
      <w:keepLines/>
    </w:pPr>
  </w:style>
  <w:style w:styleId="Date" w:type="paragraph">
    <w:name w:val="Date"/>
    <w:basedOn w:val="Normal"/>
    <w:next w:val="Normal"/>
    <w:qFormat/>
    <w:pPr>
      <w:keepNext/>
      <w:keepLines/>
    </w:pPr>
  </w:style>
  <w:style w:customStyle="1" w:styleId="AbstractTitle" w:type="paragraph">
    <w:name w:val="Abstract Title"/>
    <w:basedOn w:val="Normal"/>
    <w:next w:val="Normal"/>
    <w:qFormat/>
    <w:pPr>
      <w:keepNext/>
      <w:keepLines/>
      <w:spacing w:after="0" w:before="300"/>
      <w:jc w:val="center"/>
    </w:pPr>
  </w:style>
  <w:style w:customStyle="1" w:styleId="Abstract" w:type="paragraph">
    <w:name w:val="Abstract"/>
    <w:basedOn w:val="Normal"/>
    <w:next w:val="Normal"/>
    <w:qFormat/>
    <w:pPr>
      <w:keepNext/>
      <w:keepLines/>
      <w:spacing w:after="300" w:before="100"/>
    </w:pPr>
  </w:style>
  <w:style w:styleId="Bibliography" w:type="paragraph">
    <w:name w:val="Bibliography"/>
    <w:basedOn w:val="Normal"/>
    <w:next w:val="Normal"/>
    <w:qFormat/>
    <w:pPr/>
  </w:style>
  <w:style w:styleId="Heading1" w:type="paragraph">
    <w:name w:val="heading 1"/>
    <w:basedOn w:val="Normal"/>
    <w:next w:val="Normal"/>
    <w:link w:val="Heading1Char"/>
    <w:uiPriority w:val="9"/>
    <w:qFormat/>
    <w:rsid w:val="00236C27"/>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Normal"/>
    <w:link w:val="Heading2Char"/>
    <w:uiPriority w:val="9"/>
    <w:semiHidden/>
    <w:unhideWhenUsed/>
    <w:qFormat/>
    <w:rsid w:val="00236C27"/>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Normal"/>
    <w:link w:val="Heading3Char"/>
    <w:uiPriority w:val="9"/>
    <w:semiHidden/>
    <w:unhideWhenUsed/>
    <w:qFormat/>
    <w:rsid w:val="00236C27"/>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semiHidden/>
    <w:unhideWhenUsed/>
    <w:qFormat/>
    <w:rsid w:val="00236C27"/>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236C27"/>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236C27"/>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236C27"/>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236C27"/>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236C27"/>
    <w:pPr>
      <w:keepNext/>
      <w:keepLines/>
      <w:spacing w:after="0"/>
      <w:outlineLvl w:val="8"/>
    </w:pPr>
    <w:rPr>
      <w:rFonts w:cstheme="majorBidi" w:eastAsiaTheme="majorEastAsia"/>
      <w:color w:themeColor="text1" w:themeTint="D8" w:val="272727"/>
    </w:rPr>
  </w:style>
  <w:style w:styleId="BlockText" w:type="paragraph">
    <w:name w:val="Block Text"/>
    <w:basedOn w:val="Normal"/>
    <w:next w:val="Normal"/>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uiPriority w:val="1"/>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Normal"/>
    <w:pPr>
      <w:keepNext/>
      <w:keepLines/>
      <w:spacing w:after="0"/>
    </w:pPr>
  </w:style>
  <w:style w:customStyle="1" w:styleId="Definition" w:type="paragraph">
    <w:name w:val="Definition"/>
    <w:basedOn w:val="Normal"/>
    <w:next w:val="Normal"/>
  </w:style>
  <w:style w:styleId="Caption" w:type="paragraph">
    <w:name w:val="Caption"/>
    <w:basedOn w:val="Normal"/>
    <w:next w:val="Normal"/>
    <w:link w:val="BodyTextChar"/>
    <w:pPr>
      <w:spacing w:after="120" w:before="0"/>
    </w:pPr>
  </w:style>
  <w:style w:customStyle="1" w:styleId="TableCaption" w:type="paragraph">
    <w:name w:val="Table Caption"/>
    <w:basedOn w:val="Normal"/>
    <w:next w:val="Normal"/>
    <w:pPr>
      <w:keepNext/>
    </w:pPr>
  </w:style>
  <w:style w:customStyle="1" w:styleId="ImageCaption" w:type="paragraph">
    <w:name w:val="Image Caption"/>
    <w:basedOn w:val="Normal"/>
    <w:next w:val="Normal"/>
  </w:style>
  <w:style w:customStyle="1" w:styleId="Figure" w:type="paragraph">
    <w:name w:val="Figure"/>
    <w:basedOn w:val="Normal"/>
    <w:next w:val="Normal"/>
  </w:style>
  <w:style w:customStyle="1" w:styleId="CaptionedFigure" w:type="paragraph">
    <w:name w:val="Captioned Figure"/>
    <w:basedOn w:val="Normal"/>
    <w:next w:val="Normal"/>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Normal"/>
    <w:next w:val="Normal"/>
    <w:uiPriority w:val="39"/>
    <w:unhideWhenUsed/>
    <w:qFormat/>
    <w:pPr>
      <w:spacing w:before="240" w:line="259" w:lineRule="auto"/>
      <w:outlineLvl w:val="9"/>
    </w:p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236C27"/>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236C27"/>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236C27"/>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236C27"/>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236C27"/>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236C27"/>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236C27"/>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236C27"/>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236C27"/>
    <w:rPr>
      <w:rFonts w:cstheme="majorBidi" w:eastAsiaTheme="majorEastAsia"/>
      <w:color w:themeColor="text1" w:themeTint="D8" w:val="272727"/>
    </w:rPr>
  </w:style>
  <w:style w:customStyle="1" w:styleId="TitleChar" w:type="character">
    <w:name w:val="Title Char"/>
    <w:basedOn w:val="DefaultParagraphFont"/>
    <w:link w:val="Title"/>
    <w:uiPriority w:val="10"/>
    <w:rsid w:val="00236C27"/>
    <w:rPr>
      <w:rFonts w:asciiTheme="majorHAnsi" w:cstheme="majorBidi" w:eastAsiaTheme="majorEastAsia" w:hAnsiTheme="majorHAnsi"/>
      <w:spacing w:val="-10"/>
      <w:kern w:val="28"/>
      <w:sz w:val="56"/>
      <w:szCs w:val="56"/>
    </w:rPr>
  </w:style>
  <w:style w:customStyle="1" w:styleId="SubtitleChar" w:type="character">
    <w:name w:val="Subtitle Char"/>
    <w:basedOn w:val="DefaultParagraphFont"/>
    <w:link w:val="Subtitle"/>
    <w:uiPriority w:val="11"/>
    <w:rsid w:val="00236C27"/>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236C27"/>
    <w:pPr>
      <w:spacing w:before="160"/>
      <w:jc w:val="center"/>
    </w:pPr>
    <w:rPr>
      <w:i/>
      <w:iCs/>
      <w:color w:themeColor="text1" w:themeTint="BF" w:val="404040"/>
    </w:rPr>
  </w:style>
  <w:style w:customStyle="1" w:styleId="QuoteChar" w:type="character">
    <w:name w:val="Quote Char"/>
    <w:basedOn w:val="DefaultParagraphFont"/>
    <w:link w:val="Quote"/>
    <w:uiPriority w:val="29"/>
    <w:rsid w:val="00236C27"/>
    <w:rPr>
      <w:i/>
      <w:iCs/>
      <w:color w:themeColor="text1" w:themeTint="BF" w:val="404040"/>
    </w:rPr>
  </w:style>
  <w:style w:styleId="ListParagraph" w:type="paragraph">
    <w:name w:val="List Paragraph"/>
    <w:basedOn w:val="Normal"/>
    <w:uiPriority w:val="34"/>
    <w:qFormat/>
    <w:rsid w:val="00236C27"/>
    <w:pPr>
      <w:ind w:left="720"/>
      <w:contextualSpacing/>
    </w:pPr>
  </w:style>
  <w:style w:styleId="IntenseEmphasis" w:type="character">
    <w:name w:val="Intense Emphasis"/>
    <w:basedOn w:val="DefaultParagraphFont"/>
    <w:uiPriority w:val="21"/>
    <w:qFormat/>
    <w:rsid w:val="00236C27"/>
    <w:rPr>
      <w:i/>
      <w:iCs/>
      <w:color w:themeColor="accent1" w:themeShade="BF" w:val="0F4761"/>
    </w:rPr>
  </w:style>
  <w:style w:styleId="IntenseQuote" w:type="paragraph">
    <w:name w:val="Intense Quote"/>
    <w:basedOn w:val="Normal"/>
    <w:next w:val="Normal"/>
    <w:link w:val="IntenseQuoteChar"/>
    <w:uiPriority w:val="30"/>
    <w:qFormat/>
    <w:rsid w:val="00236C27"/>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236C27"/>
    <w:rPr>
      <w:i/>
      <w:iCs/>
      <w:color w:themeColor="accent1" w:themeShade="BF" w:val="0F4761"/>
    </w:rPr>
  </w:style>
  <w:style w:styleId="IntenseReference" w:type="character">
    <w:name w:val="Intense Reference"/>
    <w:basedOn w:val="DefaultParagraphFont"/>
    <w:uiPriority w:val="32"/>
    <w:qFormat/>
    <w:rsid w:val="00236C27"/>
    <w:rPr>
      <w:b/>
      <w:bCs/>
      <w:smallCaps/>
      <w:color w:themeColor="accent1" w:themeShade="BF" w:val="0F4761"/>
      <w:spacing w:val="5"/>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pubmed.ncbi.nlm.nih.gov/18113220/" TargetMode="External" /><Relationship Type="http://schemas.openxmlformats.org/officeDocument/2006/relationships/hyperlink" Id="rId13" Target="https://pubmed.ncbi.nlm.nih.gov/18124443/" TargetMode="External" /></Relationships>
</file>

<file path=word/_rels/footnotes.xml.rels><?xml version="1.0" encoding="UTF-8"?><Relationships xmlns="http://schemas.openxmlformats.org/package/2006/relationships"><Relationship Type="http://schemas.openxmlformats.org/officeDocument/2006/relationships/hyperlink" Id="rId10" Target="https://pubmed.ncbi.nlm.nih.gov/18113220/" TargetMode="External" /><Relationship Type="http://schemas.openxmlformats.org/officeDocument/2006/relationships/hyperlink" Id="rId13" Target="https://pubmed.ncbi.nlm.nih.gov/1812444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2026-07-13T16:39:48Z</dcterms:created>
  <dcterms:modified xsi:type="dcterms:W3CDTF">2026-07-13T16:39:48Z</dcterms:modified>
</cp:coreProperties>
</file>

<file path=docProps/custom.xml><?xml version="1.0" encoding="utf-8"?>
<Properties xmlns="http://schemas.openxmlformats.org/officeDocument/2006/custom-properties" xmlns:vt="http://schemas.openxmlformats.org/officeDocument/2006/docPropsVTypes"/>
</file>