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bb6a85def54118b163466e2cbb8c03ff6edb60f"/>
    <w:p>
      <w:pPr>
        <w:pStyle w:val="Heading1"/>
      </w:pPr>
      <w:r>
        <w:t xml:space="preserve">When a category is partly an artifact: poliovirus serotypes, then and now</w:t>
      </w:r>
    </w:p>
    <w:bookmarkStart w:id="9" w:name="the-partition-we-trust"/>
    <w:p>
      <w:pPr>
        <w:pStyle w:val="Heading2"/>
      </w:pPr>
      <w:r>
        <w:t xml:space="preserve">The partition we trust</w:t>
      </w:r>
    </w:p>
    <w:p>
      <w:pPr>
        <w:pStyle w:val="FirstParagraph"/>
      </w:pPr>
      <w:r>
        <w:t xml:space="preserve">We sort polioviruses into three serotypes and treat that partition as a hard fact of the virus. Part of that hardness, though, is manufactured — an artifact of how the field standardized its assays in the early 1950s, not a property of the virus itself. The partition is mostly real, real enough to build vaccines on; but the people who built it, working before that standardization, were blunter about its edges than we are. They knew serotypes were fuzzy. We are only surprised now because the developments since the 1950s had largely defined the evidence away.</w:t>
      </w:r>
    </w:p>
    <w:bookmarkEnd w:id="9"/>
    <w:bookmarkStart w:id="10" w:name="what-the-1949-literature-already-knew"/>
    <w:p>
      <w:pPr>
        <w:pStyle w:val="Heading2"/>
      </w:pPr>
      <w:r>
        <w:t xml:space="preserve">What the 1949 literature already knew</w:t>
      </w:r>
    </w:p>
    <w:p>
      <w:pPr>
        <w:pStyle w:val="FirstParagraph"/>
      </w:pPr>
      <w:r>
        <w:t xml:space="preserve">This is not a new worry dressed up as history. In the pre-standardization literature you can watch people work out what serotypes were by measuring cross-immunity across many monkeys, and the existence of significant cross-immunity runs squarely counter to the dogma as most of us were taught it. That is partly a matter of who taught it to whom. The virologists the eradication program inherited its framework from picked up the serotype dogma in the early 1980s or later — two to four generations after the people, like Bodian, who first worked out what polio is, and a full generation after the assays and reagents were standardized. By the time the framework reached us, it had already been cleaned up. The tables from before the cleanup tell the rest.</w:t>
      </w:r>
    </w:p>
    <w:bookmarkEnd w:id="10"/>
    <w:bookmarkStart w:id="13" w:name="the-scheme-and-its-exceptions"/>
    <w:p>
      <w:pPr>
        <w:pStyle w:val="Heading2"/>
      </w:pPr>
      <w:r>
        <w:t xml:space="preserve">The scheme and its exceptions</w:t>
      </w:r>
    </w:p>
    <w:p>
      <w:pPr>
        <w:pStyle w:val="FirstParagraph"/>
      </w:pPr>
      <w:r>
        <w:t xml:space="preserve">The three-serotype scheme was established by Bodian, Morgan, and Howe in 1949, in a three-part series in the</w:t>
      </w:r>
      <w:r>
        <w:t xml:space="preserve"> </w:t>
      </w:r>
      <w:r>
        <w:rPr>
          <w:i/>
          <w:iCs/>
        </w:rPr>
        <w:t xml:space="preserve">American Journal of Hygiene</w:t>
      </w:r>
      <w:r>
        <w:t xml:space="preserve"> </w:t>
      </w:r>
      <w:r>
        <w:t xml:space="preserve">(vol. 49; the journal was later renamed the</w:t>
      </w:r>
      <w:r>
        <w:t xml:space="preserve"> </w:t>
      </w:r>
      <w:r>
        <w:rPr>
          <w:i/>
          <w:iCs/>
        </w:rPr>
        <w:t xml:space="preserve">American Journal of Epidemiology</w:t>
      </w:r>
      <w:r>
        <w:t xml:space="preserve">) — the third part reports the grouping of fourteen strains into three basic immunological types.</w:t>
      </w:r>
      <w:r>
        <w:rPr>
          <w:rStyle w:val="FootnoteReference"/>
        </w:rPr>
        <w:footnoteReference w:id="11"/>
      </w:r>
      <w:r>
        <w:t xml:space="preserve"> </w:t>
      </w:r>
      <w:r>
        <w:t xml:space="preserve">Strains then still carried the names of where they came from: MEF-1, for one, was named for the Middle East Forces of the British Army, after a 1942 outbreak among servicemen. The archetypes were Brunhilde (type 1), Lansing (type 2), and Leon (type 3), and the type-defining pattern is clean when it holds — monkeys immunized with Lansing (type 2) resist challenge by other type 2 viruses but are paralyzed at roughly control rates by type 1 (Brunhilde-like) viruses, and vice versa.</w:t>
      </w:r>
    </w:p>
    <w:p>
      <w:pPr>
        <w:pStyle w:val="BodyText"/>
      </w:pPr>
      <w:r>
        <w:t xml:space="preserve">The exceptions are the point. The</w:t>
      </w:r>
      <w:r>
        <w:t xml:space="preserve"> </w:t>
      </w:r>
      <w:r>
        <w:t xml:space="preserve">“Per”</w:t>
      </w:r>
      <w:r>
        <w:t xml:space="preserve"> </w:t>
      </w:r>
      <w:r>
        <w:t xml:space="preserve">strain — reportedly isolated from a three-year-old girl who died in West Virginia in 1940, and autopsied by Albert Sabin — is fully protected by type 1 vaccination yet also shows significant cross-protection from type 2. It is grouped as a type 1, but it sits in the middle.</w:t>
      </w:r>
      <w:r>
        <w:t xml:space="preserve"> </w:t>
      </w:r>
      <w:r>
        <w:t xml:space="preserve">“Kover”</w:t>
      </w:r>
      <w:r>
        <w:t xml:space="preserve"> </w:t>
      </w:r>
      <w:r>
        <w:t xml:space="preserve">does the same thing symmetrically: from a single table you might dismiss the partial cross-protection as noise, but it recurs in Morgan’s reciprocal-immunity companion paper,</w:t>
      </w:r>
      <w:r>
        <w:rPr>
          <w:rStyle w:val="FootnoteReference"/>
        </w:rPr>
        <w:footnoteReference w:id="12"/>
      </w:r>
      <w:r>
        <w:t xml:space="preserve"> </w:t>
      </w:r>
      <w:r>
        <w:t xml:space="preserve">where vaccinating with Kover (type 1) is somewhat cross-protective against Lansing (type 2) just as Lansing is somewhat protective against Kover. And the small numbers deserve to be taken seriously rather than waved off. I can’t rule out sampling variation or lab error, but across many years of reading tables like these, the same strain is usually reproducible to within one monkey across papers — so a 2-of-6 where you expect 6-of-6 is weird.</w:t>
      </w:r>
    </w:p>
    <w:bookmarkEnd w:id="13"/>
    <w:bookmarkStart w:id="14" w:name="how-the-fuzziness-was-defined-away"/>
    <w:p>
      <w:pPr>
        <w:pStyle w:val="Heading2"/>
      </w:pPr>
      <w:r>
        <w:t xml:space="preserve">How the fuzziness was defined away</w:t>
      </w:r>
    </w:p>
    <w:p>
      <w:pPr>
        <w:pStyle w:val="FirstParagraph"/>
      </w:pPr>
      <w:r>
        <w:t xml:space="preserve">This is old, small-N data, and I will not pretend otherwise. But it comes from an era when genetic diversity was high, population immunity across serotypes was not yet synchronized by trivalent vaccines, and, crucially, before the assays and algorithms were built to remove exactly this ambiguity. In the early 1950s, cell culture and the three-serotype scheme were standardized together for vaccine development. Labs stopped working with the old monkey-isolated strains and referenced everything to a few prototypes — Mahoney or Brunhilde (type 1), Lansing (type 2), Leon (type 3). The other named isolates mostly disappear from the literature in that period; of the fourteen strains in that grouping, only four survived to be sequenced decades later, in the 1980s and 90s — Brunhilde, Lansing, MEF-1, and Leon. If your aim is to vaccinate against three types, none of the lost nuance matters. But in the canonizing of those stylized facts, we lost the common knowledge that the story is fuzzy.</w:t>
      </w:r>
    </w:p>
    <w:bookmarkEnd w:id="14"/>
    <w:bookmarkStart w:id="15" w:name="an-evolutionary-reading"/>
    <w:p>
      <w:pPr>
        <w:pStyle w:val="Heading2"/>
      </w:pPr>
      <w:r>
        <w:t xml:space="preserve">An evolutionary reading</w:t>
      </w:r>
    </w:p>
    <w:p>
      <w:pPr>
        <w:pStyle w:val="FirstParagraph"/>
      </w:pPr>
      <w:r>
        <w:t xml:space="preserve">It is worth speculating about the evolutionary dynamics — as speculation. Assume that between-type viruses are less intrinsically fit, but that they persist at least transiently when population immunity across serotypes is heterogeneous. What would history look like? Before vaccination, outbreaks came in seasonal waves of a single serotype — at least in wealthier communities, where the age of infection was older and paralysis therefore more visible; poorer communities like Houston in the mid-1950s saw every serotype every year. Any given town thus carried heterogeneous immunity in its children. If last year’s outbreak was a type 1 in a place that had seen no type 2 for a few years, this year’s type 1 would do a little better by looking a little more type-2-like. Per could be exactly such a virus — one that immunizes against type 1 and a bit against type 2. The permutations are open in principle, but the key thing is simple: as long as there are towns where a serotype skips years, the population can select for off-type drift among the variants that survive the low periods. Then trivalent vaccine arrives. Most children are immunized against all three types at once, early in life, and that population-level heterogeneity collapses.</w:t>
      </w:r>
    </w:p>
    <w:bookmarkEnd w:id="15"/>
    <w:bookmarkStart w:id="16" w:name="why-it-is-live-again"/>
    <w:p>
      <w:pPr>
        <w:pStyle w:val="Heading2"/>
      </w:pPr>
      <w:r>
        <w:t xml:space="preserve">Why it is live again</w:t>
      </w:r>
    </w:p>
    <w:p>
      <w:pPr>
        <w:pStyle w:val="FirstParagraph"/>
      </w:pPr>
      <w:r>
        <w:t xml:space="preserve">In the modern era we find wild polioviruses under strong purifying selection: they do not drift far antigenically for long, though titers around the reference strains routinely vary by factors of four to eight when we look. Between sequencing everything, typing on VP1 alone, and the prior that between-serotype viruses are unfit, the people who run the typing assays have never seen one in their lives. Then we withdrew the type 2 vaccine. Population immunity across serotypes is now becoming more heterogeneous than it has ever been, even as the standing genetic diversity of wild poliovirus stays very small. Put those together and the expectation follows: wait a few years, and we should start to notice viruses that sit between serotypes. Given the historical data, our own experience of bOPV cross-protection against type 2, and modern work on cross-reactivity across the enterovirus family, the idea that a poliovirus could be</w:t>
      </w:r>
      <w:r>
        <w:t xml:space="preserve"> </w:t>
      </w:r>
      <w:r>
        <w:t xml:space="preserve">“mostly type 1 with a little bit of type 2”</w:t>
      </w:r>
      <w:r>
        <w:t xml:space="preserve"> </w:t>
      </w:r>
      <w:r>
        <w:t xml:space="preserve">should not be surprising at all. The partition was always fuzzier than the reference panel made it look — and we are now removing one of the forces that kept it looking sharp.</w:t>
      </w:r>
    </w:p>
    <w:bookmarkEnd w:id="16"/>
    <w:bookmarkStart w:id="17" w:name="provenance-disclosure"/>
    <w:p>
      <w:pPr>
        <w:pStyle w:val="Heading2"/>
      </w:pPr>
      <w:r>
        <w:t xml:space="preserve">Provenance &amp; disclosure</w:t>
      </w:r>
    </w:p>
    <w:p>
      <w:pPr>
        <w:pStyle w:val="FirstParagraph"/>
      </w:pPr>
      <w:r>
        <w:t xml:space="preserve">Produced with AI assistance under a my-voice-my-words writing workflow. It transports a single, lightly-redacted source — the author’s own email (</w:t>
      </w:r>
      <w:r>
        <w:rPr>
          <w:rStyle w:val="VerbatimChar"/>
        </w:rPr>
        <w:t xml:space="preserve">raw_source_serotype-fuzziness.md</w:t>
      </w:r>
      <w:r>
        <w:t xml:space="preserve">): the assistant arranged the author’s verbatim spans to an outline and drafted the connective tissue, then the draft was independently audited for generic language, voice fidelity, and claim defensibility, and its citations were re-researched and fetch-verified. Every human-in-the-loop decision is in</w:t>
      </w:r>
      <w:r>
        <w:t xml:space="preserve"> </w:t>
      </w:r>
      <w:r>
        <w:rPr>
          <w:rStyle w:val="VerbatimChar"/>
        </w:rPr>
        <w:t xml:space="preserve">decision-log.md</w:t>
      </w:r>
      <w:r>
        <w:t xml:space="preserve">; per-claim status is in</w:t>
      </w:r>
      <w:r>
        <w:t xml:space="preserve"> </w:t>
      </w:r>
      <w:r>
        <w:rPr>
          <w:rStyle w:val="VerbatimChar"/>
        </w:rPr>
        <w:t xml:space="preserve">06_claim-ledger.md</w:t>
      </w:r>
      <w:r>
        <w:t xml:space="preserve">.</w:t>
      </w:r>
      <w:r>
        <w:t xml:space="preserve"> </w:t>
      </w:r>
      <w:r>
        <w:rPr>
          <w:b/>
          <w:bCs/>
        </w:rPr>
        <w:t xml:space="preserve">Unresolved:</w:t>
      </w:r>
      <w:r>
        <w:t xml:space="preserve"> </w:t>
      </w:r>
      <w:r>
        <w:t xml:space="preserve">the</w:t>
      </w:r>
      <w:r>
        <w:t xml:space="preserve"> </w:t>
      </w:r>
      <w:r>
        <w:t xml:space="preserve">“Per”</w:t>
      </w:r>
      <w:r>
        <w:t xml:space="preserve"> </w:t>
      </w:r>
      <w:r>
        <w:t xml:space="preserve">and</w:t>
      </w:r>
      <w:r>
        <w:t xml:space="preserve"> </w:t>
      </w:r>
      <w:r>
        <w:t xml:space="preserve">“Kover”</w:t>
      </w:r>
      <w:r>
        <w:t xml:space="preserve"> </w:t>
      </w:r>
      <w:r>
        <w:t xml:space="preserve">strains and the</w:t>
      </w:r>
      <w:r>
        <w:t xml:space="preserve"> </w:t>
      </w:r>
      <w:r>
        <w:t xml:space="preserve">“four of fourteen”</w:t>
      </w:r>
      <w:r>
        <w:t xml:space="preserve"> </w:t>
      </w:r>
      <w:r>
        <w:t xml:space="preserve">count are the author’s reading of the primary 1949 tables and are not independently attested in the indexed secondary literature. Final wording, claim strength, and emphasis remain the author’s.</w:t>
      </w:r>
    </w:p>
    <w:p>
      <w:r>
        <w:pict>
          <v:rect style="width:0;height:1.5pt" o:hralign="center" o:hrstd="t" o:hr="t"/>
        </w:pict>
      </w:r>
    </w:p>
    <w:bookmarkEnd w:id="17"/>
    <w:bookmarkEnd w:id="18"/>
    <w:sectPr>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Bodian D, Morgan IM, Howe HA. Differentiation of types of poliomyelitis viruses. III. The grouping of fourteen strains into three basic immunological types.</w:t>
      </w:r>
      <w:r>
        <w:t xml:space="preserve"> </w:t>
      </w:r>
      <w:r>
        <w:rPr>
          <w:i/>
          <w:iCs/>
        </w:rPr>
        <w:t xml:space="preserve">Am J Hyg.</w:t>
      </w:r>
      <w:r>
        <w:t xml:space="preserve"> </w:t>
      </w:r>
      <w:r>
        <w:t xml:space="preserve">1949;49(2):234–245. (The three-type scheme was foreshadowed by Burnet &amp; Macnamara’s 1931 demonstration of poliovirus antigenic types and confirmed by the NFIP typing committee c. 1951; the 1949 series is where the three-type grouping was formalized.)</w:t>
      </w:r>
    </w:p>
  </w:footnote>
  <w:footnote w:id="12">
    <w:p>
      <w:pPr>
        <w:pStyle w:val="FootnoteText"/>
      </w:pPr>
      <w:r>
        <w:rPr>
          <w:rStyle w:val="FootnoteReference"/>
        </w:rPr>
        <w:footnoteRef/>
      </w:r>
      <w:r>
        <w:t xml:space="preserve"> </w:t>
      </w:r>
      <w:r>
        <w:t xml:space="preserve">Morgan IM. Differentiation of types of poliomyelitis viruses. II. …by reciprocal vaccination-immunity experiments.</w:t>
      </w:r>
      <w:r>
        <w:t xml:space="preserve"> </w:t>
      </w:r>
      <w:r>
        <w:rPr>
          <w:i/>
          <w:iCs/>
        </w:rPr>
        <w:t xml:space="preserve">Am J Hyg.</w:t>
      </w:r>
      <w:r>
        <w:t xml:space="preserve"> </w:t>
      </w:r>
      <w:r>
        <w:t xml:space="preserve">1949;49(2):225–233. The</w:t>
      </w:r>
      <w:r>
        <w:t xml:space="preserve"> </w:t>
      </w:r>
      <w:r>
        <w:t xml:space="preserve">“Per”</w:t>
      </w:r>
      <w:r>
        <w:t xml:space="preserve"> </w:t>
      </w:r>
      <w:r>
        <w:t xml:space="preserve">and</w:t>
      </w:r>
      <w:r>
        <w:t xml:space="preserve"> </w:t>
      </w:r>
      <w:r>
        <w:t xml:space="preserve">“Kover”</w:t>
      </w:r>
      <w:r>
        <w:t xml:space="preserve"> </w:t>
      </w:r>
      <w:r>
        <w:t xml:space="preserve">strain details appear in the primary 1949 tables and are cited to that source; they are not independently attested in the indexed secondary literature.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xmlns:w14="http://schemas.microsoft.com/office/word/2010/wordml">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next w:val="Normal"/>
    <w:link w:val="BodyTextChar"/>
    <w:qFormat/>
  </w:style>
  <w:style w:customStyle="1" w:styleId="FirstParagraph" w:type="paragraph">
    <w:name w:val="First Paragraph"/>
    <w:basedOn w:val="Normal"/>
    <w:next w:val="Normal"/>
    <w:qFormat/>
  </w:style>
  <w:style w:customStyle="1" w:styleId="Compact" w:type="paragraph">
    <w:name w:val="Compact"/>
    <w:basedOn w:val="Normal"/>
    <w:next w:val="Normal"/>
    <w:qFormat/>
  </w:style>
  <w:style w:styleId="Title" w:type="paragraph">
    <w:name w:val="Title"/>
    <w:basedOn w:val="Normal"/>
    <w:next w:val="Normal"/>
    <w:link w:val="TitleChar"/>
    <w:uiPriority w:val="10"/>
    <w:qFormat/>
    <w:rsid w:val="00236C27"/>
    <w:pPr>
      <w:spacing w:after="80" w:line="240" w:lineRule="auto"/>
      <w:contextualSpacing/>
    </w:pPr>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236C27"/>
    <w:pPr>
      <w:numPr>
        <w:ilvl w:val="1"/>
      </w:numPr>
    </w:pPr>
    <w:rPr>
      <w:rFonts w:cstheme="majorBidi" w:eastAsiaTheme="majorEastAsia"/>
      <w:color w:themeColor="text1" w:themeTint="A6" w:val="595959"/>
      <w:spacing w:val="15"/>
      <w:sz w:val="28"/>
      <w:szCs w:val="28"/>
    </w:rPr>
  </w:style>
  <w:style w:customStyle="1" w:styleId="Author" w:type="paragraph">
    <w:name w:val="Author"/>
    <w:basedOn w:val="Normal"/>
    <w:next w:val="Normal"/>
    <w:qFormat/>
    <w:pPr>
      <w:keepNext/>
      <w:keepLines/>
    </w:pPr>
  </w:style>
  <w:style w:styleId="Date" w:type="paragraph">
    <w:name w:val="Date"/>
    <w:basedOn w:val="Normal"/>
    <w:next w:val="Normal"/>
    <w:qFormat/>
    <w:pPr>
      <w:keepNext/>
      <w:keepLines/>
    </w:pPr>
  </w:style>
  <w:style w:customStyle="1" w:styleId="AbstractTitle" w:type="paragraph">
    <w:name w:val="Abstract Title"/>
    <w:basedOn w:val="Normal"/>
    <w:next w:val="Normal"/>
    <w:qFormat/>
    <w:pPr>
      <w:keepNext/>
      <w:keepLines/>
      <w:spacing w:after="0" w:before="300"/>
      <w:jc w:val="center"/>
    </w:pPr>
  </w:style>
  <w:style w:customStyle="1" w:styleId="Abstract" w:type="paragraph">
    <w:name w:val="Abstract"/>
    <w:basedOn w:val="Normal"/>
    <w:next w:val="Normal"/>
    <w:qFormat/>
    <w:pPr>
      <w:keepNext/>
      <w:keepLines/>
      <w:spacing w:after="300" w:before="100"/>
    </w:pPr>
  </w:style>
  <w:style w:styleId="Bibliography" w:type="paragraph">
    <w:name w:val="Bibliography"/>
    <w:basedOn w:val="Normal"/>
    <w:next w:val="Normal"/>
    <w:qFormat/>
    <w:pPr/>
  </w:style>
  <w:style w:styleId="Heading1" w:type="paragraph">
    <w:name w:val="heading 1"/>
    <w:basedOn w:val="Normal"/>
    <w:next w:val="Normal"/>
    <w:link w:val="Heading1Char"/>
    <w:uiPriority w:val="9"/>
    <w:qFormat/>
    <w:rsid w:val="00236C27"/>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236C27"/>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236C27"/>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236C27"/>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236C27"/>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236C27"/>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236C27"/>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236C27"/>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236C27"/>
    <w:pPr>
      <w:keepNext/>
      <w:keepLines/>
      <w:spacing w:after="0"/>
      <w:outlineLvl w:val="8"/>
    </w:pPr>
    <w:rPr>
      <w:rFonts w:cstheme="majorBidi" w:eastAsiaTheme="majorEastAsia"/>
      <w:color w:themeColor="text1" w:themeTint="D8" w:val="272727"/>
    </w:rPr>
  </w:style>
  <w:style w:styleId="BlockText" w:type="paragraph">
    <w:name w:val="Block Text"/>
    <w:basedOn w:val="Normal"/>
    <w:next w:val="Normal"/>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uiPriority w:val="1"/>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Normal"/>
    <w:pPr>
      <w:keepNext/>
      <w:keepLines/>
      <w:spacing w:after="0"/>
    </w:pPr>
  </w:style>
  <w:style w:customStyle="1" w:styleId="Definition" w:type="paragraph">
    <w:name w:val="Definition"/>
    <w:basedOn w:val="Normal"/>
    <w:next w:val="Normal"/>
  </w:style>
  <w:style w:styleId="Caption" w:type="paragraph">
    <w:name w:val="Caption"/>
    <w:basedOn w:val="Normal"/>
    <w:next w:val="Normal"/>
    <w:link w:val="BodyTextChar"/>
    <w:pPr>
      <w:spacing w:after="120" w:before="0"/>
    </w:pPr>
  </w:style>
  <w:style w:customStyle="1" w:styleId="TableCaption" w:type="paragraph">
    <w:name w:val="Table Caption"/>
    <w:basedOn w:val="Normal"/>
    <w:next w:val="Normal"/>
    <w:pPr>
      <w:keepNext/>
    </w:pPr>
  </w:style>
  <w:style w:customStyle="1" w:styleId="ImageCaption" w:type="paragraph">
    <w:name w:val="Image Caption"/>
    <w:basedOn w:val="Normal"/>
    <w:next w:val="Normal"/>
  </w:style>
  <w:style w:customStyle="1" w:styleId="Figure" w:type="paragraph">
    <w:name w:val="Figure"/>
    <w:basedOn w:val="Normal"/>
    <w:next w:val="Normal"/>
  </w:style>
  <w:style w:customStyle="1" w:styleId="CaptionedFigure" w:type="paragraph">
    <w:name w:val="Captioned Figure"/>
    <w:basedOn w:val="Normal"/>
    <w:next w:val="Normal"/>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next w:val="Normal"/>
    <w:uiPriority w:val="39"/>
    <w:unhideWhenUsed/>
    <w:qFormat/>
    <w:pPr>
      <w:spacing w:before="240" w:line="259" w:lineRule="auto"/>
      <w:outlineLvl w:val="9"/>
    </w:p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236C2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236C27"/>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236C27"/>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236C27"/>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236C27"/>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236C27"/>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236C27"/>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236C27"/>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236C27"/>
    <w:rPr>
      <w:rFonts w:cstheme="majorBidi" w:eastAsiaTheme="majorEastAsia"/>
      <w:color w:themeColor="text1" w:themeTint="D8" w:val="272727"/>
    </w:rPr>
  </w:style>
  <w:style w:customStyle="1" w:styleId="TitleChar" w:type="character">
    <w:name w:val="Title Char"/>
    <w:basedOn w:val="DefaultParagraphFont"/>
    <w:link w:val="Title"/>
    <w:uiPriority w:val="10"/>
    <w:rsid w:val="00236C27"/>
    <w:rPr>
      <w:rFonts w:asciiTheme="majorHAnsi" w:cstheme="majorBidi" w:eastAsiaTheme="majorEastAsia" w:hAnsiTheme="majorHAnsi"/>
      <w:spacing w:val="-10"/>
      <w:kern w:val="28"/>
      <w:sz w:val="56"/>
      <w:szCs w:val="56"/>
    </w:rPr>
  </w:style>
  <w:style w:customStyle="1" w:styleId="SubtitleChar" w:type="character">
    <w:name w:val="Subtitle Char"/>
    <w:basedOn w:val="DefaultParagraphFont"/>
    <w:link w:val="Subtitle"/>
    <w:uiPriority w:val="11"/>
    <w:rsid w:val="00236C27"/>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236C27"/>
    <w:pPr>
      <w:spacing w:before="160"/>
      <w:jc w:val="center"/>
    </w:pPr>
    <w:rPr>
      <w:i/>
      <w:iCs/>
      <w:color w:themeColor="text1" w:themeTint="BF" w:val="404040"/>
    </w:rPr>
  </w:style>
  <w:style w:customStyle="1" w:styleId="QuoteChar" w:type="character">
    <w:name w:val="Quote Char"/>
    <w:basedOn w:val="DefaultParagraphFont"/>
    <w:link w:val="Quote"/>
    <w:uiPriority w:val="29"/>
    <w:rsid w:val="00236C27"/>
    <w:rPr>
      <w:i/>
      <w:iCs/>
      <w:color w:themeColor="text1" w:themeTint="BF" w:val="404040"/>
    </w:rPr>
  </w:style>
  <w:style w:styleId="ListParagraph" w:type="paragraph">
    <w:name w:val="List Paragraph"/>
    <w:basedOn w:val="Normal"/>
    <w:uiPriority w:val="34"/>
    <w:qFormat/>
    <w:rsid w:val="00236C27"/>
    <w:pPr>
      <w:ind w:left="720"/>
      <w:contextualSpacing/>
    </w:pPr>
  </w:style>
  <w:style w:styleId="IntenseEmphasis" w:type="character">
    <w:name w:val="Intense Emphasis"/>
    <w:basedOn w:val="DefaultParagraphFont"/>
    <w:uiPriority w:val="21"/>
    <w:qFormat/>
    <w:rsid w:val="00236C27"/>
    <w:rPr>
      <w:i/>
      <w:iCs/>
      <w:color w:themeColor="accent1" w:themeShade="BF" w:val="0F4761"/>
    </w:rPr>
  </w:style>
  <w:style w:styleId="IntenseQuote" w:type="paragraph">
    <w:name w:val="Intense Quote"/>
    <w:basedOn w:val="Normal"/>
    <w:next w:val="Normal"/>
    <w:link w:val="IntenseQuoteChar"/>
    <w:uiPriority w:val="30"/>
    <w:qFormat/>
    <w:rsid w:val="00236C27"/>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236C27"/>
    <w:rPr>
      <w:i/>
      <w:iCs/>
      <w:color w:themeColor="accent1" w:themeShade="BF" w:val="0F4761"/>
    </w:rPr>
  </w:style>
  <w:style w:styleId="IntenseReference" w:type="character">
    <w:name w:val="Intense Reference"/>
    <w:basedOn w:val="DefaultParagraphFont"/>
    <w:uiPriority w:val="32"/>
    <w:qFormat/>
    <w:rsid w:val="00236C27"/>
    <w:rPr>
      <w:b/>
      <w:bCs/>
      <w:smallCaps/>
      <w:color w:themeColor="accent1" w:themeShade="BF" w:val="0F4761"/>
      <w:spacing w:val="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2026-07-13T15:53:14Z</dcterms:created>
  <dcterms:modified xsi:type="dcterms:W3CDTF">2026-07-13T15:53:14Z</dcterms:modified>
</cp:coreProperties>
</file>

<file path=docProps/custom.xml><?xml version="1.0" encoding="utf-8"?>
<Properties xmlns="http://schemas.openxmlformats.org/officeDocument/2006/custom-properties" xmlns:vt="http://schemas.openxmlformats.org/officeDocument/2006/docPropsVTypes"/>
</file>