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660de999f7f6229b06cfb945b8b91322ced9956"/>
    <w:p>
      <w:pPr>
        <w:pStyle w:val="Heading1"/>
      </w:pPr>
      <w:r>
        <w:t xml:space="preserve">We decided polio comes in three flavors. The old data weren’t so sure.</w:t>
      </w:r>
    </w:p>
    <w:p>
      <w:pPr>
        <w:pStyle w:val="FirstParagraph"/>
      </w:pPr>
      <w:r>
        <w:t xml:space="preserve">We treat the three poliovirus serotypes as a hard fact of nature — type 1, type 2, type 3, clean boxes — and part of that hardness is something we manufactured in the 1950s. I went digging in the 1949 literature last week, and the people who first sorted these viruses weren’t nearly as sure the boxes were clean. Read the papers from before the cleanup and the story is fuzzier than the dogma I was handed.</w:t>
      </w:r>
    </w:p>
    <w:bookmarkStart w:id="9" w:name="what-they-knew-before-they-tidied-it-up"/>
    <w:p>
      <w:pPr>
        <w:pStyle w:val="Heading2"/>
      </w:pPr>
      <w:r>
        <w:t xml:space="preserve">What they knew before they tidied it up</w:t>
      </w:r>
    </w:p>
    <w:p>
      <w:pPr>
        <w:pStyle w:val="FirstParagraph"/>
      </w:pPr>
      <w:r>
        <w:t xml:space="preserve">Here’s the thing. Way back, they</w:t>
      </w:r>
      <w:r>
        <w:t xml:space="preserve"> </w:t>
      </w:r>
      <w:r>
        <w:rPr>
          <w:i/>
          <w:iCs/>
        </w:rPr>
        <w:t xml:space="preserve">knew</w:t>
      </w:r>
      <w:r>
        <w:t xml:space="preserve"> </w:t>
      </w:r>
      <w:r>
        <w:t xml:space="preserve">serotypes were fuzzy. Before anyone had a sequencer, people worked out what a</w:t>
      </w:r>
      <w:r>
        <w:t xml:space="preserve"> </w:t>
      </w:r>
      <w:r>
        <w:t xml:space="preserve">“type”</w:t>
      </w:r>
      <w:r>
        <w:t xml:space="preserve"> </w:t>
      </w:r>
      <w:r>
        <w:t xml:space="preserve">even was by measuring cross-immunity across a lot of monkeys — and they kept finding significant cross-immunity, which is exactly the thing the modern dogma waves off. We’re only surprised now because of who taught whom. The virologists the eradication program inherited its framework from picked up the serotype dogma in the early 1980s or later — two to four generations downstream of the people, like Bodian, who first figured out what polio is, and a full generation after the assays got standardized. By the time it reached us, it had already been cleaned up.</w:t>
      </w:r>
    </w:p>
    <w:p>
      <w:pPr>
        <w:pStyle w:val="BodyText"/>
      </w:pPr>
      <w:r>
        <w:t xml:space="preserve">So I went back to the tables.</w:t>
      </w:r>
    </w:p>
    <w:bookmarkEnd w:id="9"/>
    <w:bookmarkStart w:id="10" w:name="bodian-and-the-strains-that-wont-behave"/>
    <w:p>
      <w:pPr>
        <w:pStyle w:val="Heading2"/>
      </w:pPr>
      <w:r>
        <w:t xml:space="preserve">Bodian, and the strains that won’t behave</w:t>
      </w:r>
    </w:p>
    <w:p>
      <w:pPr>
        <w:pStyle w:val="FirstParagraph"/>
      </w:pPr>
      <w:r>
        <w:t xml:space="preserve">Bodian, Morgan, and Howe pinned down the three-type scheme in 1949, in the American Journal of Hygiene (same journal that’s now the American Journal of Epidemiology, which threw me for a second). Strains back then were named for where they came from — MEF-1 is literally</w:t>
      </w:r>
      <w:r>
        <w:t xml:space="preserve"> </w:t>
      </w:r>
      <w:r>
        <w:t xml:space="preserve">“Middle East Forces,”</w:t>
      </w:r>
      <w:r>
        <w:t xml:space="preserve"> </w:t>
      </w:r>
      <w:r>
        <w:t xml:space="preserve">from a 1942 outbreak among British soldiers. The archetypes were Brunhilde (type 1), Lansing (type 2), and Leon (type 3), and the type-defining pattern is lovely when it holds: immunize a monkey with a type 2 and it shrugs off other type 2s but gets paralyzed by type 1s, and vice versa.</w:t>
      </w:r>
    </w:p>
    <w:p>
      <w:pPr>
        <w:pStyle w:val="BodyText"/>
      </w:pPr>
      <w:r>
        <w:t xml:space="preserve">And then there are the strains that won’t behave. The one that got me is</w:t>
      </w:r>
      <w:r>
        <w:t xml:space="preserve"> </w:t>
      </w:r>
      <w:r>
        <w:t xml:space="preserve">“Per”</w:t>
      </w:r>
      <w:r>
        <w:t xml:space="preserve"> </w:t>
      </w:r>
      <w:r>
        <w:t xml:space="preserve">— reportedly from a three-year-old girl who died in West Virginia in 1940, autopsied by Albert Sabin. (I’m legit tearing up at this — I’m emotional about this stuff these days.) Per is fully protected by type 1 vaccination</w:t>
      </w:r>
      <w:r>
        <w:t xml:space="preserve"> </w:t>
      </w:r>
      <w:r>
        <w:rPr>
          <w:i/>
          <w:iCs/>
        </w:rPr>
        <w:t xml:space="preserve">and</w:t>
      </w:r>
      <w:r>
        <w:t xml:space="preserve"> </w:t>
      </w:r>
      <w:r>
        <w:t xml:space="preserve">significantly cross-protected by type 2. They filed it under type 1, but it sits in the middle. There’s another,</w:t>
      </w:r>
      <w:r>
        <w:t xml:space="preserve"> </w:t>
      </w:r>
      <w:r>
        <w:t xml:space="preserve">“Kover,”</w:t>
      </w:r>
      <w:r>
        <w:t xml:space="preserve"> </w:t>
      </w:r>
      <w:r>
        <w:t xml:space="preserve">that does it symmetrically — cross-protective both ways — and it turns up again in Morgan’s companion paper, so it isn’t just one weird table. Could it be noise? I can’t rule out sampling variation or lab error. But across years of reading tables like these, the same strain usually reproduces to within one monkey across papers, so a 2-of-6 where you’d expect 6-of-6 is weird.</w:t>
      </w:r>
    </w:p>
    <w:bookmarkEnd w:id="10"/>
    <w:bookmarkStart w:id="11" w:name="how-we-lost-the-plot"/>
    <w:p>
      <w:pPr>
        <w:pStyle w:val="Heading2"/>
      </w:pPr>
      <w:r>
        <w:t xml:space="preserve">How we lost the plot</w:t>
      </w:r>
    </w:p>
    <w:p>
      <w:pPr>
        <w:pStyle w:val="FirstParagraph"/>
      </w:pPr>
      <w:r>
        <w:t xml:space="preserve">And here’s the kicker. This is old, small-N data, sure. But it comes from a moment when genetic diversity was high, when population immunity across serotypes wasn’t yet synchronized by trivalent vaccines, and before we’d built the assays and algorithms specifically to remove this ambiguity. In the early ’50s, cell culture and the three-type scheme were standardized together for vaccine development. Everyone stopped fussing with the old monkey-isolated strains and referenced everything to a handful of prototypes. Most of those other names just… vanish from the literature. Of the fourteen strains in Bodian’s grouping, only four survived to be sequenced decades later. And honestly? If your job is to vaccinate against three types, none of the lost nuance matters. But in the canonizing of stylized facts, we lost the common knowledge that the story is fuzzy.</w:t>
      </w:r>
    </w:p>
    <w:bookmarkEnd w:id="11"/>
    <w:bookmarkStart w:id="12" w:name="X7b6ebf72970e149b877e75b7f60d83e8e5c25ea"/>
    <w:p>
      <w:pPr>
        <w:pStyle w:val="Heading2"/>
      </w:pPr>
      <w:r>
        <w:t xml:space="preserve">Now the speculation (and it</w:t>
      </w:r>
      <w:r>
        <w:t xml:space="preserve"> </w:t>
      </w:r>
      <w:r>
        <w:rPr>
          <w:i/>
          <w:iCs/>
        </w:rPr>
        <w:t xml:space="preserve">is</w:t>
      </w:r>
      <w:r>
        <w:t xml:space="preserve"> </w:t>
      </w:r>
      <w:r>
        <w:t xml:space="preserve">speculation)</w:t>
      </w:r>
    </w:p>
    <w:p>
      <w:pPr>
        <w:pStyle w:val="FirstParagraph"/>
      </w:pPr>
      <w:r>
        <w:t xml:space="preserve">Conjecture time — treat this as conjecture. Suppose between-type viruses are less fit intrinsically, but they hang on transiently when population immunity across serotypes is patchy. What does history look like? Pre-vaccine, outbreaks came in seasonal waves of one serotype (at least in richer places, where the age of infection was older and paralysis more visible — poorer places like Houston in the mid-’50s got every serotype every year). So any given town carried patchy immunity in its kids. If last year was a type 1 in a place that hadn’t seen type 2 in a while, this year’s type 1 does a little better by looking a little more type-2-ish. Per could be exactly that kind of virus. The key thing: as long as some towns skip a serotype for a few years, the population can select for off-type drift among whatever survives the low periods.</w:t>
      </w:r>
    </w:p>
    <w:p>
      <w:pPr>
        <w:pStyle w:val="BodyText"/>
      </w:pPr>
      <w:r>
        <w:t xml:space="preserve">Then trivalent vaccine shows up, nearly everyone gets all three types at once as a baby, and that heterogeneity collapses.</w:t>
      </w:r>
    </w:p>
    <w:bookmarkEnd w:id="12"/>
    <w:bookmarkStart w:id="13" w:name="why-im-bringing-this-up-now"/>
    <w:p>
      <w:pPr>
        <w:pStyle w:val="Heading2"/>
      </w:pPr>
      <w:r>
        <w:t xml:space="preserve">Why I’m bringing this up now</w:t>
      </w:r>
    </w:p>
    <w:p>
      <w:pPr>
        <w:pStyle w:val="FirstParagraph"/>
      </w:pPr>
      <w:r>
        <w:t xml:space="preserve">Fast-forward. Modern wild poliovirus is under such strong purifying selection that it barely drifts antigenically for long; we type it on VP1 alone; and we assume between-serotype viruses are unfit — so the people running the typing assays have never seen one in their lives. Then we dropped the type 2 vaccine. Population immunity across serotypes is now getting more heterogeneous than it has ever been, even though the standing genetic diversity of the virus is tiny. Put those together, and I’d expect that in a few years we start noticing viruses that sit between serotypes. Given the old data, our own experience of bOPV cross-protecting against type 2, and modern work on cross-reactivity across the enterovirus family,</w:t>
      </w:r>
      <w:r>
        <w:t xml:space="preserve"> </w:t>
      </w:r>
      <w:r>
        <w:t xml:space="preserve">“mostly type 1 with a little bit of type 2”</w:t>
      </w:r>
      <w:r>
        <w:t xml:space="preserve"> </w:t>
      </w:r>
      <w:r>
        <w:t xml:space="preserve">should not be surprising at all.</w:t>
      </w:r>
    </w:p>
    <w:p>
      <w:pPr>
        <w:pStyle w:val="BodyText"/>
      </w:pPr>
      <w:r>
        <w:t xml:space="preserve">The boxes were always fuzzier than the reference panel made them look. We spent the vaccine era removing one of the forces that kept them looking sharp — and we just removed one more.</w:t>
      </w:r>
    </w:p>
    <w:p>
      <w:r>
        <w:pict>
          <v:rect style="width:0;height:1.5pt" o:hralign="center" o:hrstd="t" o:hr="t"/>
        </w:pict>
      </w:r>
    </w:p>
    <w:p>
      <w:pPr>
        <w:pStyle w:val="FirstParagraph"/>
      </w:pPr>
      <w:r>
        <w:rPr>
          <w:i/>
          <w:iCs/>
        </w:rPr>
        <w:t xml:space="preserve">Written with AI help from a single source email of my own, then independently audited for voice and claims and fact-checked against the 1949 literature. The Per and Kover details come from the primary tables, not secondary sources. Conjecture is labeled as conjecture on purpose. Decision trail and citations are in the repo.</w:t>
      </w:r>
    </w:p>
    <w:bookmarkEnd w:id="13"/>
    <w:bookmarkEnd w:id="14"/>
    <w:sect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xmlns:w14="http://schemas.microsoft.com/office/word/2010/wordml">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next w:val="Normal"/>
    <w:link w:val="BodyTextChar"/>
    <w:qFormat/>
  </w:style>
  <w:style w:customStyle="1" w:styleId="FirstParagraph" w:type="paragraph">
    <w:name w:val="First Paragraph"/>
    <w:basedOn w:val="Normal"/>
    <w:next w:val="Normal"/>
    <w:qFormat/>
  </w:style>
  <w:style w:customStyle="1" w:styleId="Compact" w:type="paragraph">
    <w:name w:val="Compact"/>
    <w:basedOn w:val="Normal"/>
    <w:next w:val="Normal"/>
    <w:qFormat/>
  </w:style>
  <w:style w:styleId="Title" w:type="paragraph">
    <w:name w:val="Title"/>
    <w:basedOn w:val="Normal"/>
    <w:next w:val="Normal"/>
    <w:link w:val="TitleChar"/>
    <w:uiPriority w:val="10"/>
    <w:qFormat/>
    <w:rsid w:val="00236C27"/>
    <w:pPr>
      <w:spacing w:after="80" w:line="240" w:lineRule="auto"/>
      <w:contextualSpacing/>
    </w:pPr>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36C27"/>
    <w:pPr>
      <w:numPr>
        <w:ilvl w:val="1"/>
      </w:numPr>
    </w:pPr>
    <w:rPr>
      <w:rFonts w:cstheme="majorBidi" w:eastAsiaTheme="majorEastAsia"/>
      <w:color w:themeColor="text1" w:themeTint="A6" w:val="595959"/>
      <w:spacing w:val="15"/>
      <w:sz w:val="28"/>
      <w:szCs w:val="28"/>
    </w:rPr>
  </w:style>
  <w:style w:customStyle="1" w:styleId="Author" w:type="paragraph">
    <w:name w:val="Author"/>
    <w:basedOn w:val="Normal"/>
    <w:next w:val="Normal"/>
    <w:qFormat/>
    <w:pPr>
      <w:keepNext/>
      <w:keepLines/>
    </w:pPr>
  </w:style>
  <w:style w:styleId="Date" w:type="paragraph">
    <w:name w:val="Date"/>
    <w:basedOn w:val="Normal"/>
    <w:next w:val="Normal"/>
    <w:qFormat/>
    <w:pPr>
      <w:keepNext/>
      <w:keepLines/>
    </w:pPr>
  </w:style>
  <w:style w:customStyle="1" w:styleId="AbstractTitle" w:type="paragraph">
    <w:name w:val="Abstract Title"/>
    <w:basedOn w:val="Normal"/>
    <w:next w:val="Normal"/>
    <w:qFormat/>
    <w:pPr>
      <w:keepNext/>
      <w:keepLines/>
      <w:spacing w:after="0" w:before="300"/>
      <w:jc w:val="center"/>
    </w:pPr>
  </w:style>
  <w:style w:customStyle="1" w:styleId="Abstract" w:type="paragraph">
    <w:name w:val="Abstract"/>
    <w:basedOn w:val="Normal"/>
    <w:next w:val="Normal"/>
    <w:qFormat/>
    <w:pPr>
      <w:keepNext/>
      <w:keepLines/>
      <w:spacing w:after="300" w:before="100"/>
    </w:pPr>
  </w:style>
  <w:style w:styleId="Bibliography" w:type="paragraph">
    <w:name w:val="Bibliography"/>
    <w:basedOn w:val="Normal"/>
    <w:next w:val="Normal"/>
    <w:qFormat/>
    <w:pPr/>
  </w:style>
  <w:style w:styleId="Heading1" w:type="paragraph">
    <w:name w:val="heading 1"/>
    <w:basedOn w:val="Normal"/>
    <w:next w:val="Normal"/>
    <w:link w:val="Heading1Char"/>
    <w:uiPriority w:val="9"/>
    <w:qFormat/>
    <w:rsid w:val="00236C2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236C2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236C2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36C2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36C2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36C2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36C2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36C2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36C27"/>
    <w:pPr>
      <w:keepNext/>
      <w:keepLines/>
      <w:spacing w:after="0"/>
      <w:outlineLvl w:val="8"/>
    </w:pPr>
    <w:rPr>
      <w:rFonts w:cstheme="majorBidi" w:eastAsiaTheme="majorEastAsia"/>
      <w:color w:themeColor="text1" w:themeTint="D8" w:val="272727"/>
    </w:rPr>
  </w:style>
  <w:style w:styleId="BlockText" w:type="paragraph">
    <w:name w:val="Block Text"/>
    <w:basedOn w:val="Normal"/>
    <w:next w:val="Normal"/>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uiPriority w:val="1"/>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Normal"/>
    <w:pPr>
      <w:keepNext/>
      <w:keepLines/>
      <w:spacing w:after="0"/>
    </w:pPr>
  </w:style>
  <w:style w:customStyle="1" w:styleId="Definition" w:type="paragraph">
    <w:name w:val="Definition"/>
    <w:basedOn w:val="Normal"/>
    <w:next w:val="Normal"/>
  </w:style>
  <w:style w:styleId="Caption" w:type="paragraph">
    <w:name w:val="Caption"/>
    <w:basedOn w:val="Normal"/>
    <w:next w:val="Normal"/>
    <w:link w:val="BodyTextChar"/>
    <w:pPr>
      <w:spacing w:after="120" w:before="0"/>
    </w:pPr>
  </w:style>
  <w:style w:customStyle="1" w:styleId="TableCaption" w:type="paragraph">
    <w:name w:val="Table Caption"/>
    <w:basedOn w:val="Normal"/>
    <w:next w:val="Normal"/>
    <w:pPr>
      <w:keepNext/>
    </w:pPr>
  </w:style>
  <w:style w:customStyle="1" w:styleId="ImageCaption" w:type="paragraph">
    <w:name w:val="Image Caption"/>
    <w:basedOn w:val="Normal"/>
    <w:next w:val="Normal"/>
  </w:style>
  <w:style w:customStyle="1" w:styleId="Figure" w:type="paragraph">
    <w:name w:val="Figure"/>
    <w:basedOn w:val="Normal"/>
    <w:next w:val="Normal"/>
  </w:style>
  <w:style w:customStyle="1" w:styleId="CaptionedFigure" w:type="paragraph">
    <w:name w:val="Captioned Figure"/>
    <w:basedOn w:val="Normal"/>
    <w:next w:val="Normal"/>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Normal"/>
    <w:uiPriority w:val="39"/>
    <w:unhideWhenUsed/>
    <w:qFormat/>
    <w:pPr>
      <w:spacing w:before="240" w:line="259" w:lineRule="auto"/>
      <w:outlineLvl w:val="9"/>
    </w:p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36C2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236C2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236C2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36C2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36C2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36C2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36C2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36C2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36C27"/>
    <w:rPr>
      <w:rFonts w:cstheme="majorBidi" w:eastAsiaTheme="majorEastAsia"/>
      <w:color w:themeColor="text1" w:themeTint="D8" w:val="272727"/>
    </w:rPr>
  </w:style>
  <w:style w:customStyle="1" w:styleId="TitleChar" w:type="character">
    <w:name w:val="Title Char"/>
    <w:basedOn w:val="DefaultParagraphFont"/>
    <w:link w:val="Title"/>
    <w:uiPriority w:val="10"/>
    <w:rsid w:val="00236C27"/>
    <w:rPr>
      <w:rFonts w:asciiTheme="majorHAnsi" w:cstheme="majorBidi" w:eastAsiaTheme="majorEastAsia" w:hAnsiTheme="majorHAnsi"/>
      <w:spacing w:val="-10"/>
      <w:kern w:val="28"/>
      <w:sz w:val="56"/>
      <w:szCs w:val="56"/>
    </w:rPr>
  </w:style>
  <w:style w:customStyle="1" w:styleId="SubtitleChar" w:type="character">
    <w:name w:val="Subtitle Char"/>
    <w:basedOn w:val="DefaultParagraphFont"/>
    <w:link w:val="Subtitle"/>
    <w:uiPriority w:val="11"/>
    <w:rsid w:val="00236C2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36C27"/>
    <w:pPr>
      <w:spacing w:before="160"/>
      <w:jc w:val="center"/>
    </w:pPr>
    <w:rPr>
      <w:i/>
      <w:iCs/>
      <w:color w:themeColor="text1" w:themeTint="BF" w:val="404040"/>
    </w:rPr>
  </w:style>
  <w:style w:customStyle="1" w:styleId="QuoteChar" w:type="character">
    <w:name w:val="Quote Char"/>
    <w:basedOn w:val="DefaultParagraphFont"/>
    <w:link w:val="Quote"/>
    <w:uiPriority w:val="29"/>
    <w:rsid w:val="00236C27"/>
    <w:rPr>
      <w:i/>
      <w:iCs/>
      <w:color w:themeColor="text1" w:themeTint="BF" w:val="404040"/>
    </w:rPr>
  </w:style>
  <w:style w:styleId="ListParagraph" w:type="paragraph">
    <w:name w:val="List Paragraph"/>
    <w:basedOn w:val="Normal"/>
    <w:uiPriority w:val="34"/>
    <w:qFormat/>
    <w:rsid w:val="00236C27"/>
    <w:pPr>
      <w:ind w:left="720"/>
      <w:contextualSpacing/>
    </w:pPr>
  </w:style>
  <w:style w:styleId="IntenseEmphasis" w:type="character">
    <w:name w:val="Intense Emphasis"/>
    <w:basedOn w:val="DefaultParagraphFont"/>
    <w:uiPriority w:val="21"/>
    <w:qFormat/>
    <w:rsid w:val="00236C27"/>
    <w:rPr>
      <w:i/>
      <w:iCs/>
      <w:color w:themeColor="accent1" w:themeShade="BF" w:val="0F4761"/>
    </w:rPr>
  </w:style>
  <w:style w:styleId="IntenseQuote" w:type="paragraph">
    <w:name w:val="Intense Quote"/>
    <w:basedOn w:val="Normal"/>
    <w:next w:val="Normal"/>
    <w:link w:val="IntenseQuoteChar"/>
    <w:uiPriority w:val="30"/>
    <w:qFormat/>
    <w:rsid w:val="00236C2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36C27"/>
    <w:rPr>
      <w:i/>
      <w:iCs/>
      <w:color w:themeColor="accent1" w:themeShade="BF" w:val="0F4761"/>
    </w:rPr>
  </w:style>
  <w:style w:styleId="IntenseReference" w:type="character">
    <w:name w:val="Intense Reference"/>
    <w:basedOn w:val="DefaultParagraphFont"/>
    <w:uiPriority w:val="32"/>
    <w:qFormat/>
    <w:rsid w:val="00236C27"/>
    <w:rPr>
      <w:b/>
      <w:bCs/>
      <w:smallCaps/>
      <w:color w:themeColor="accent1" w:themeShade="BF" w:val="0F4761"/>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2026-07-13T15:53:14Z</dcterms:created>
  <dcterms:modified xsi:type="dcterms:W3CDTF">2026-07-13T15:53:14Z</dcterms:modified>
</cp:coreProperties>
</file>

<file path=docProps/custom.xml><?xml version="1.0" encoding="utf-8"?>
<Properties xmlns="http://schemas.openxmlformats.org/officeDocument/2006/custom-properties" xmlns:vt="http://schemas.openxmlformats.org/officeDocument/2006/docPropsVTypes"/>
</file>