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BA19" w14:textId="77777777" w:rsidR="00A63349" w:rsidRDefault="00000000">
      <w:pPr>
        <w:pStyle w:val="normal1"/>
        <w:spacing w:line="240" w:lineRule="auto"/>
        <w:jc w:val="center"/>
      </w:pPr>
      <w:r>
        <w:t>ГОСУДАРСТВЕННОЕ БЮДЖЕТНОЕ ПРОФЕССИОНАЛЬНОЕ</w:t>
      </w:r>
    </w:p>
    <w:p w14:paraId="62310083" w14:textId="77777777" w:rsidR="00A63349" w:rsidRDefault="00000000">
      <w:pPr>
        <w:pStyle w:val="normal1"/>
        <w:spacing w:line="240" w:lineRule="auto"/>
        <w:jc w:val="center"/>
      </w:pPr>
      <w:r>
        <w:t>ОБРАЗОВАТЕЛЬНОЕ УЧРЕЖДЕНИЕ РЕСПУБЛИКИ ХАКАСИЯ</w:t>
      </w:r>
    </w:p>
    <w:p w14:paraId="0CED7A9C" w14:textId="77777777" w:rsidR="00A63349" w:rsidRDefault="00000000">
      <w:pPr>
        <w:pStyle w:val="normal1"/>
        <w:jc w:val="center"/>
      </w:pPr>
      <w:r>
        <w:t>«ХАКАССКИЙ ПОЛИТЕХНИЧЕСКИЙ КОЛЛЕДЖ»</w:t>
      </w:r>
    </w:p>
    <w:p w14:paraId="0D857510" w14:textId="77777777" w:rsidR="00A63349" w:rsidRDefault="00000000">
      <w:pPr>
        <w:pStyle w:val="normal1"/>
      </w:pPr>
      <w:r>
        <w:t xml:space="preserve"> </w:t>
      </w:r>
    </w:p>
    <w:p w14:paraId="53E897BD" w14:textId="77777777" w:rsidR="00A63349" w:rsidRDefault="00000000">
      <w:pPr>
        <w:pStyle w:val="normal1"/>
      </w:pPr>
      <w:r>
        <w:t xml:space="preserve">  </w:t>
      </w:r>
    </w:p>
    <w:p w14:paraId="1D121EF4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5B3A42B1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651D6826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34317091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67B840B1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2296B439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0A8CB418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52E5B7D6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51CA72A5" w14:textId="77777777" w:rsidR="00A63349" w:rsidRDefault="00000000">
      <w:pPr>
        <w:pStyle w:val="normal1"/>
        <w:spacing w:line="240" w:lineRule="auto"/>
        <w:jc w:val="center"/>
        <w:rPr>
          <w:b/>
        </w:rPr>
      </w:pPr>
      <w:r>
        <w:rPr>
          <w:b/>
        </w:rPr>
        <w:t>ОТЧЕТ</w:t>
      </w:r>
    </w:p>
    <w:p w14:paraId="5E9CFEFA" w14:textId="77777777" w:rsidR="00A63349" w:rsidRDefault="00A63349">
      <w:pPr>
        <w:pStyle w:val="normal1"/>
        <w:spacing w:line="240" w:lineRule="auto"/>
        <w:jc w:val="center"/>
        <w:rPr>
          <w:b/>
        </w:rPr>
      </w:pPr>
    </w:p>
    <w:p w14:paraId="47EEB142" w14:textId="77777777" w:rsidR="00A63349" w:rsidRDefault="00000000">
      <w:pPr>
        <w:pStyle w:val="normal1"/>
        <w:spacing w:line="240" w:lineRule="auto"/>
        <w:jc w:val="center"/>
      </w:pPr>
      <w:r>
        <w:t>по учебной практике</w:t>
      </w:r>
    </w:p>
    <w:p w14:paraId="2B131528" w14:textId="77777777" w:rsidR="00A63349" w:rsidRDefault="00000000">
      <w:pPr>
        <w:pStyle w:val="normal1"/>
        <w:jc w:val="center"/>
      </w:pPr>
      <w:r>
        <w:t>по профессиональному модулю</w:t>
      </w:r>
    </w:p>
    <w:p w14:paraId="161F73C1" w14:textId="77777777" w:rsidR="00A63349" w:rsidRDefault="00A63349">
      <w:pPr>
        <w:pStyle w:val="normal1"/>
        <w:jc w:val="center"/>
      </w:pPr>
    </w:p>
    <w:p w14:paraId="4FA86CE2" w14:textId="77777777" w:rsidR="00A63349" w:rsidRDefault="00000000">
      <w:pPr>
        <w:pStyle w:val="normal1"/>
        <w:jc w:val="center"/>
        <w:rPr>
          <w:i/>
          <w:smallCaps/>
          <w:vertAlign w:val="superscript"/>
        </w:rPr>
      </w:pPr>
      <w:r>
        <w:rPr>
          <w:b/>
          <w:sz w:val="20"/>
          <w:szCs w:val="20"/>
        </w:rPr>
        <w:t xml:space="preserve">ПМ.02 </w:t>
      </w:r>
      <w:r>
        <w:rPr>
          <w:b/>
          <w:smallCaps/>
          <w:sz w:val="20"/>
          <w:szCs w:val="20"/>
        </w:rPr>
        <w:t>ОСУЩЕСТВЛЕНИЕ ИНТЕГРАЦИИ ПРОГРАММНЫХ МОДУЛЕЙ</w:t>
      </w:r>
    </w:p>
    <w:p w14:paraId="0B65F5AB" w14:textId="77777777" w:rsidR="00A63349" w:rsidRDefault="00000000">
      <w:pPr>
        <w:pStyle w:val="normal1"/>
      </w:pPr>
      <w:r>
        <w:t xml:space="preserve"> </w:t>
      </w:r>
    </w:p>
    <w:p w14:paraId="618E533F" w14:textId="77777777" w:rsidR="00A63349" w:rsidRDefault="00000000">
      <w:pPr>
        <w:pStyle w:val="normal1"/>
        <w:spacing w:line="240" w:lineRule="auto"/>
        <w:jc w:val="center"/>
      </w:pPr>
      <w:r>
        <w:t xml:space="preserve">специальности 09.02.07 Информационные системы и программирование </w:t>
      </w:r>
      <w:r>
        <w:br/>
        <w:t>Квалификация Технический писатель</w:t>
      </w:r>
    </w:p>
    <w:p w14:paraId="2C1C8595" w14:textId="77777777" w:rsidR="00A63349" w:rsidRDefault="00A63349">
      <w:pPr>
        <w:pStyle w:val="normal1"/>
        <w:spacing w:line="240" w:lineRule="auto"/>
        <w:jc w:val="center"/>
      </w:pPr>
    </w:p>
    <w:p w14:paraId="5D3D7BF8" w14:textId="77777777" w:rsidR="00A63349" w:rsidRDefault="00A63349">
      <w:pPr>
        <w:pStyle w:val="normal1"/>
      </w:pPr>
    </w:p>
    <w:p w14:paraId="1AC9C6F1" w14:textId="77777777" w:rsidR="00A63349" w:rsidRDefault="00A63349">
      <w:pPr>
        <w:pStyle w:val="normal1"/>
      </w:pPr>
    </w:p>
    <w:p w14:paraId="49E1C9F7" w14:textId="77777777" w:rsidR="00A63349" w:rsidRDefault="00000000">
      <w:pPr>
        <w:pStyle w:val="normal1"/>
        <w:spacing w:line="240" w:lineRule="auto"/>
      </w:pPr>
      <w:r>
        <w:t xml:space="preserve"> </w:t>
      </w:r>
    </w:p>
    <w:tbl>
      <w:tblPr>
        <w:tblW w:w="960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684"/>
        <w:gridCol w:w="1685"/>
        <w:gridCol w:w="567"/>
        <w:gridCol w:w="1690"/>
        <w:gridCol w:w="436"/>
        <w:gridCol w:w="3543"/>
      </w:tblGrid>
      <w:tr w:rsidR="00A63349" w14:paraId="0B797820" w14:textId="77777777">
        <w:tc>
          <w:tcPr>
            <w:tcW w:w="1683" w:type="dxa"/>
            <w:vAlign w:val="bottom"/>
          </w:tcPr>
          <w:p w14:paraId="760DEE55" w14:textId="77777777" w:rsidR="00A63349" w:rsidRDefault="00000000">
            <w:pPr>
              <w:pStyle w:val="normal1"/>
              <w:widowControl w:val="0"/>
            </w:pPr>
            <w:r>
              <w:t>Студент гр.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  <w:vAlign w:val="bottom"/>
          </w:tcPr>
          <w:p w14:paraId="0F7D1869" w14:textId="77777777" w:rsidR="00A63349" w:rsidRDefault="00000000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</w:rPr>
            </w:pPr>
            <w:bookmarkStart w:id="0" w:name="_gjdgxs"/>
            <w:bookmarkEnd w:id="0"/>
            <w:r>
              <w:t>ИС(ТП)-31</w:t>
            </w:r>
          </w:p>
        </w:tc>
        <w:tc>
          <w:tcPr>
            <w:tcW w:w="567" w:type="dxa"/>
            <w:vAlign w:val="bottom"/>
          </w:tcPr>
          <w:p w14:paraId="4D1E2C6A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1690" w:type="dxa"/>
            <w:tcBorders>
              <w:bottom w:val="single" w:sz="4" w:space="0" w:color="000000"/>
            </w:tcBorders>
            <w:vAlign w:val="bottom"/>
          </w:tcPr>
          <w:p w14:paraId="199AC829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436" w:type="dxa"/>
            <w:vAlign w:val="bottom"/>
          </w:tcPr>
          <w:p w14:paraId="61FD84B7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 w14:paraId="55D946AF" w14:textId="77777777" w:rsidR="00A63349" w:rsidRDefault="00A63349">
            <w:pPr>
              <w:pStyle w:val="normal1"/>
              <w:widowControl w:val="0"/>
              <w:jc w:val="center"/>
            </w:pPr>
          </w:p>
        </w:tc>
      </w:tr>
      <w:tr w:rsidR="00A63349" w14:paraId="1D457E61" w14:textId="77777777">
        <w:tc>
          <w:tcPr>
            <w:tcW w:w="1683" w:type="dxa"/>
          </w:tcPr>
          <w:p w14:paraId="4E022137" w14:textId="77777777" w:rsidR="00A63349" w:rsidRDefault="00A63349">
            <w:pPr>
              <w:pStyle w:val="normal1"/>
              <w:widowControl w:val="0"/>
            </w:pPr>
          </w:p>
        </w:tc>
        <w:tc>
          <w:tcPr>
            <w:tcW w:w="1685" w:type="dxa"/>
            <w:tcBorders>
              <w:top w:val="single" w:sz="4" w:space="0" w:color="000000"/>
            </w:tcBorders>
          </w:tcPr>
          <w:p w14:paraId="42C120A9" w14:textId="77777777" w:rsidR="00A63349" w:rsidRDefault="00A63349">
            <w:pPr>
              <w:pStyle w:val="normal1"/>
              <w:widowControl w:val="0"/>
            </w:pPr>
          </w:p>
        </w:tc>
        <w:tc>
          <w:tcPr>
            <w:tcW w:w="567" w:type="dxa"/>
          </w:tcPr>
          <w:p w14:paraId="060EB988" w14:textId="77777777" w:rsidR="00A63349" w:rsidRDefault="00A63349">
            <w:pPr>
              <w:pStyle w:val="normal1"/>
              <w:widowControl w:val="0"/>
            </w:pPr>
          </w:p>
        </w:tc>
        <w:tc>
          <w:tcPr>
            <w:tcW w:w="1690" w:type="dxa"/>
            <w:tcBorders>
              <w:top w:val="single" w:sz="4" w:space="0" w:color="000000"/>
            </w:tcBorders>
          </w:tcPr>
          <w:p w14:paraId="7DF04A7A" w14:textId="77777777" w:rsidR="00A63349" w:rsidRDefault="00000000">
            <w:pPr>
              <w:pStyle w:val="normal1"/>
              <w:widowControl w:val="0"/>
              <w:jc w:val="center"/>
            </w:pPr>
            <w:r>
              <w:rPr>
                <w:i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14:paraId="066633BE" w14:textId="77777777" w:rsidR="00A63349" w:rsidRDefault="00A63349">
            <w:pPr>
              <w:pStyle w:val="normal1"/>
              <w:widowControl w:val="0"/>
            </w:pPr>
          </w:p>
        </w:tc>
        <w:tc>
          <w:tcPr>
            <w:tcW w:w="3543" w:type="dxa"/>
            <w:tcBorders>
              <w:top w:val="single" w:sz="4" w:space="0" w:color="000000"/>
            </w:tcBorders>
          </w:tcPr>
          <w:p w14:paraId="19DBB899" w14:textId="77777777" w:rsidR="00A63349" w:rsidRDefault="00000000">
            <w:pPr>
              <w:pStyle w:val="normal1"/>
              <w:widowControl w:val="0"/>
              <w:jc w:val="center"/>
            </w:pPr>
            <w:r>
              <w:rPr>
                <w:i/>
                <w:vertAlign w:val="superscript"/>
              </w:rPr>
              <w:t>Фамилия И.О.</w:t>
            </w:r>
          </w:p>
        </w:tc>
      </w:tr>
    </w:tbl>
    <w:p w14:paraId="0E0E1CF1" w14:textId="77777777" w:rsidR="00A63349" w:rsidRDefault="00000000">
      <w:pPr>
        <w:pStyle w:val="normal1"/>
        <w:spacing w:line="240" w:lineRule="auto"/>
      </w:pPr>
      <w:r>
        <w:t xml:space="preserve"> </w:t>
      </w:r>
    </w:p>
    <w:p w14:paraId="4E790AE3" w14:textId="77777777" w:rsidR="00A63349" w:rsidRDefault="00A63349">
      <w:pPr>
        <w:pStyle w:val="normal1"/>
        <w:spacing w:line="240" w:lineRule="auto"/>
      </w:pPr>
    </w:p>
    <w:p w14:paraId="14A38F4B" w14:textId="77777777" w:rsidR="00A63349" w:rsidRDefault="00A63349">
      <w:pPr>
        <w:pStyle w:val="normal1"/>
        <w:spacing w:line="240" w:lineRule="auto"/>
      </w:pPr>
    </w:p>
    <w:tbl>
      <w:tblPr>
        <w:tblW w:w="988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093"/>
        <w:gridCol w:w="1234"/>
        <w:gridCol w:w="237"/>
        <w:gridCol w:w="1541"/>
        <w:gridCol w:w="290"/>
        <w:gridCol w:w="1375"/>
        <w:gridCol w:w="241"/>
        <w:gridCol w:w="2876"/>
      </w:tblGrid>
      <w:tr w:rsidR="00A63349" w14:paraId="67A9648B" w14:textId="77777777">
        <w:tc>
          <w:tcPr>
            <w:tcW w:w="2092" w:type="dxa"/>
            <w:vAlign w:val="bottom"/>
          </w:tcPr>
          <w:p w14:paraId="61BCE824" w14:textId="77777777" w:rsidR="00A63349" w:rsidRDefault="00000000">
            <w:pPr>
              <w:pStyle w:val="normal1"/>
              <w:widowControl w:val="0"/>
            </w:pPr>
            <w:r>
              <w:lastRenderedPageBreak/>
              <w:t>Руководитель практики</w:t>
            </w:r>
          </w:p>
          <w:p w14:paraId="27229A40" w14:textId="77777777" w:rsidR="00A63349" w:rsidRDefault="00000000">
            <w:pPr>
              <w:pStyle w:val="normal1"/>
              <w:widowControl w:val="0"/>
            </w:pPr>
            <w:r>
              <w:t>от ГБПОУ РХ ХПК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vAlign w:val="bottom"/>
          </w:tcPr>
          <w:p w14:paraId="758455AD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237" w:type="dxa"/>
            <w:vAlign w:val="bottom"/>
          </w:tcPr>
          <w:p w14:paraId="70D7B22D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1541" w:type="dxa"/>
            <w:tcBorders>
              <w:bottom w:val="single" w:sz="4" w:space="0" w:color="000000"/>
            </w:tcBorders>
            <w:vAlign w:val="bottom"/>
          </w:tcPr>
          <w:p w14:paraId="1DDB4A95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290" w:type="dxa"/>
            <w:vAlign w:val="bottom"/>
          </w:tcPr>
          <w:p w14:paraId="00C8EEB4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vAlign w:val="bottom"/>
          </w:tcPr>
          <w:p w14:paraId="377A2830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241" w:type="dxa"/>
            <w:vAlign w:val="bottom"/>
          </w:tcPr>
          <w:p w14:paraId="64648723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2875" w:type="dxa"/>
            <w:tcBorders>
              <w:bottom w:val="single" w:sz="4" w:space="0" w:color="000000"/>
            </w:tcBorders>
            <w:vAlign w:val="bottom"/>
          </w:tcPr>
          <w:p w14:paraId="7FA13CE0" w14:textId="77777777" w:rsidR="00A63349" w:rsidRDefault="00A63349">
            <w:pPr>
              <w:pStyle w:val="normal1"/>
              <w:widowControl w:val="0"/>
              <w:jc w:val="center"/>
            </w:pPr>
          </w:p>
        </w:tc>
      </w:tr>
      <w:tr w:rsidR="00A63349" w14:paraId="0A962E28" w14:textId="77777777">
        <w:tc>
          <w:tcPr>
            <w:tcW w:w="2092" w:type="dxa"/>
          </w:tcPr>
          <w:p w14:paraId="68831C68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8E5C1EA" w14:textId="77777777" w:rsidR="00A63349" w:rsidRDefault="00000000">
            <w:pPr>
              <w:pStyle w:val="normal1"/>
              <w:widowControl w:val="0"/>
              <w:jc w:val="center"/>
            </w:pPr>
            <w:r>
              <w:rPr>
                <w:i/>
                <w:vertAlign w:val="superscript"/>
              </w:rPr>
              <w:t>оценка</w:t>
            </w:r>
          </w:p>
        </w:tc>
        <w:tc>
          <w:tcPr>
            <w:tcW w:w="237" w:type="dxa"/>
          </w:tcPr>
          <w:p w14:paraId="714CD258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2B2E7DD8" w14:textId="77777777" w:rsidR="00A63349" w:rsidRDefault="00000000">
            <w:pPr>
              <w:pStyle w:val="normal1"/>
              <w:widowControl w:val="0"/>
              <w:jc w:val="center"/>
            </w:pPr>
            <w:r>
              <w:rPr>
                <w:i/>
                <w:vertAlign w:val="superscript"/>
              </w:rPr>
              <w:t>дата</w:t>
            </w:r>
          </w:p>
        </w:tc>
        <w:tc>
          <w:tcPr>
            <w:tcW w:w="290" w:type="dxa"/>
          </w:tcPr>
          <w:p w14:paraId="319E9552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14:paraId="2BD33A11" w14:textId="77777777" w:rsidR="00A63349" w:rsidRDefault="00000000">
            <w:pPr>
              <w:pStyle w:val="normal1"/>
              <w:widowControl w:val="0"/>
              <w:jc w:val="center"/>
            </w:pPr>
            <w:r>
              <w:rPr>
                <w:i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61675865" w14:textId="77777777" w:rsidR="00A63349" w:rsidRDefault="00A63349">
            <w:pPr>
              <w:pStyle w:val="normal1"/>
              <w:widowControl w:val="0"/>
              <w:jc w:val="center"/>
            </w:pP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54B6F9B3" w14:textId="77777777" w:rsidR="00A63349" w:rsidRDefault="00000000">
            <w:pPr>
              <w:pStyle w:val="normal1"/>
              <w:widowControl w:val="0"/>
              <w:jc w:val="center"/>
            </w:pPr>
            <w:r>
              <w:rPr>
                <w:i/>
                <w:vertAlign w:val="superscript"/>
              </w:rPr>
              <w:t>Фамилия И.О.</w:t>
            </w:r>
          </w:p>
        </w:tc>
      </w:tr>
    </w:tbl>
    <w:p w14:paraId="3E757E1C" w14:textId="77777777" w:rsidR="00A63349" w:rsidRDefault="00A63349">
      <w:pPr>
        <w:pStyle w:val="normal1"/>
      </w:pPr>
    </w:p>
    <w:p w14:paraId="3C73E03F" w14:textId="77777777" w:rsidR="00A63349" w:rsidRDefault="00000000">
      <w:pPr>
        <w:pStyle w:val="normal1"/>
        <w:tabs>
          <w:tab w:val="left" w:pos="4039"/>
        </w:tabs>
      </w:pPr>
      <w:r>
        <w:t xml:space="preserve">  </w:t>
      </w:r>
      <w:r>
        <w:tab/>
      </w:r>
    </w:p>
    <w:p w14:paraId="446EB631" w14:textId="77777777" w:rsidR="00A63349" w:rsidRDefault="00A63349">
      <w:pPr>
        <w:pStyle w:val="normal1"/>
        <w:tabs>
          <w:tab w:val="left" w:pos="4039"/>
        </w:tabs>
      </w:pPr>
    </w:p>
    <w:p w14:paraId="66503F74" w14:textId="77777777" w:rsidR="00A63349" w:rsidRDefault="00A63349">
      <w:pPr>
        <w:pStyle w:val="normal1"/>
        <w:tabs>
          <w:tab w:val="left" w:pos="4039"/>
        </w:tabs>
      </w:pPr>
    </w:p>
    <w:p w14:paraId="2F9F3430" w14:textId="77777777" w:rsidR="00A63349" w:rsidRDefault="00A63349">
      <w:pPr>
        <w:pStyle w:val="normal1"/>
        <w:tabs>
          <w:tab w:val="left" w:pos="4039"/>
        </w:tabs>
      </w:pPr>
    </w:p>
    <w:p w14:paraId="09A1D043" w14:textId="77777777" w:rsidR="00A63349" w:rsidRDefault="00000000">
      <w:pPr>
        <w:pStyle w:val="normal1"/>
        <w:jc w:val="center"/>
        <w:rPr>
          <w:sz w:val="26"/>
          <w:szCs w:val="26"/>
        </w:rPr>
      </w:pPr>
      <w:r>
        <w:rPr>
          <w:sz w:val="26"/>
          <w:szCs w:val="26"/>
        </w:rPr>
        <w:t>Абакан 2025 г</w:t>
      </w:r>
    </w:p>
    <w:sdt>
      <w:sdtPr>
        <w:rPr>
          <w:rFonts w:ascii="Times New Roman" w:eastAsia="Times New Roman" w:hAnsi="Times New Roman" w:cs="Times New Roman"/>
          <w:sz w:val="26"/>
          <w:szCs w:val="26"/>
        </w:rPr>
        <w:id w:val="-1512375957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06BA97E4" w14:textId="634F80BA" w:rsidR="00A63349" w:rsidRDefault="00000000">
          <w:pPr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 w:rsidR="00C337CE">
            <w:rPr>
              <w:b/>
              <w:bCs/>
              <w:noProof/>
            </w:rPr>
            <w:t>Элементы оглавления не найдены.</w:t>
          </w:r>
          <w:r>
            <w:fldChar w:fldCharType="end"/>
          </w:r>
        </w:p>
      </w:sdtContent>
    </w:sdt>
    <w:p w14:paraId="3F61AC0B" w14:textId="77777777" w:rsidR="00A63349" w:rsidRDefault="00A63349">
      <w:pPr>
        <w:pStyle w:val="normal1"/>
        <w:jc w:val="left"/>
        <w:rPr>
          <w:sz w:val="26"/>
          <w:szCs w:val="26"/>
        </w:rPr>
      </w:pPr>
    </w:p>
    <w:p w14:paraId="2111EDE7" w14:textId="77777777" w:rsidR="00A63349" w:rsidRDefault="00000000">
      <w:pPr>
        <w:pStyle w:val="normal1"/>
        <w:jc w:val="left"/>
        <w:rPr>
          <w:sz w:val="26"/>
          <w:szCs w:val="26"/>
        </w:rPr>
      </w:pPr>
      <w:r>
        <w:rPr>
          <w:sz w:val="26"/>
          <w:szCs w:val="26"/>
        </w:rPr>
        <w:t>Введение</w:t>
      </w:r>
    </w:p>
    <w:p w14:paraId="47E06A78" w14:textId="77777777" w:rsidR="00A63349" w:rsidRDefault="00000000">
      <w:pPr>
        <w:pStyle w:val="normal1"/>
        <w:jc w:val="left"/>
      </w:pPr>
      <w:r>
        <w:rPr>
          <w:sz w:val="26"/>
          <w:szCs w:val="26"/>
        </w:rPr>
        <w:t>(Введение в тему. Актуальность работы. Цель работы. Задачи работы. Объем и</w:t>
      </w:r>
    </w:p>
    <w:p w14:paraId="0761563D" w14:textId="77777777" w:rsidR="00A63349" w:rsidRDefault="00000000">
      <w:pPr>
        <w:pStyle w:val="normal1"/>
        <w:jc w:val="left"/>
      </w:pPr>
      <w:r>
        <w:rPr>
          <w:sz w:val="26"/>
          <w:szCs w:val="26"/>
        </w:rPr>
        <w:t>структура работы)</w:t>
      </w:r>
    </w:p>
    <w:p w14:paraId="3C361111" w14:textId="77777777" w:rsidR="00A63349" w:rsidRDefault="00000000">
      <w:pPr>
        <w:pStyle w:val="normal1"/>
        <w:numPr>
          <w:ilvl w:val="0"/>
          <w:numId w:val="1"/>
        </w:numPr>
        <w:jc w:val="left"/>
      </w:pPr>
      <w:r>
        <w:rPr>
          <w:sz w:val="26"/>
          <w:szCs w:val="26"/>
        </w:rPr>
        <w:t>Анализ предметной области</w:t>
      </w:r>
    </w:p>
    <w:p w14:paraId="013987C8" w14:textId="77777777" w:rsidR="00A63349" w:rsidRDefault="00000000">
      <w:pPr>
        <w:pStyle w:val="normal1"/>
        <w:numPr>
          <w:ilvl w:val="0"/>
          <w:numId w:val="1"/>
        </w:numPr>
        <w:jc w:val="left"/>
      </w:pPr>
      <w:bookmarkStart w:id="1" w:name="_Hlk198232853"/>
      <w:bookmarkStart w:id="2" w:name="_Hlk198234482"/>
      <w:r>
        <w:rPr>
          <w:sz w:val="26"/>
          <w:szCs w:val="26"/>
        </w:rPr>
        <w:t>Построение функциональной архитектуры программного средства</w:t>
      </w:r>
    </w:p>
    <w:bookmarkEnd w:id="1"/>
    <w:p w14:paraId="171AA587" w14:textId="77777777" w:rsidR="00A63349" w:rsidRDefault="00000000">
      <w:pPr>
        <w:pStyle w:val="normal1"/>
        <w:numPr>
          <w:ilvl w:val="1"/>
          <w:numId w:val="1"/>
        </w:numPr>
        <w:jc w:val="left"/>
      </w:pPr>
      <w:r>
        <w:rPr>
          <w:sz w:val="26"/>
          <w:szCs w:val="26"/>
        </w:rPr>
        <w:t>Построение ER-диаграммы</w:t>
      </w:r>
    </w:p>
    <w:p w14:paraId="744CE36A" w14:textId="77777777" w:rsidR="00A63349" w:rsidRDefault="00000000">
      <w:pPr>
        <w:pStyle w:val="normal1"/>
        <w:numPr>
          <w:ilvl w:val="1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Построение диаграммы Вариантов использования и диаграммы </w:t>
      </w:r>
    </w:p>
    <w:p w14:paraId="44BD47C4" w14:textId="77777777" w:rsidR="00A63349" w:rsidRDefault="00000000">
      <w:pPr>
        <w:pStyle w:val="normal1"/>
        <w:ind w:left="1080" w:firstLine="0"/>
        <w:jc w:val="left"/>
        <w:rPr>
          <w:sz w:val="26"/>
          <w:szCs w:val="26"/>
        </w:rPr>
      </w:pPr>
      <w:r>
        <w:rPr>
          <w:sz w:val="26"/>
          <w:szCs w:val="26"/>
        </w:rPr>
        <w:t>последовательности</w:t>
      </w:r>
    </w:p>
    <w:p w14:paraId="2C76FBCD" w14:textId="77777777" w:rsidR="00A63349" w:rsidRDefault="00000000">
      <w:pPr>
        <w:pStyle w:val="normal1"/>
        <w:numPr>
          <w:ilvl w:val="1"/>
          <w:numId w:val="1"/>
        </w:numPr>
        <w:jc w:val="left"/>
      </w:pPr>
      <w:r>
        <w:rPr>
          <w:sz w:val="26"/>
          <w:szCs w:val="26"/>
        </w:rPr>
        <w:t>Построение диаграммы Деятельности, диаграммы Классов</w:t>
      </w:r>
    </w:p>
    <w:p w14:paraId="6BA6B9E4" w14:textId="77777777" w:rsidR="00A63349" w:rsidRDefault="00000000">
      <w:pPr>
        <w:pStyle w:val="normal1"/>
        <w:numPr>
          <w:ilvl w:val="1"/>
          <w:numId w:val="1"/>
        </w:numPr>
        <w:jc w:val="left"/>
      </w:pPr>
      <w:r>
        <w:rPr>
          <w:sz w:val="26"/>
          <w:szCs w:val="26"/>
        </w:rPr>
        <w:t>Построение диаграмм потоков данных</w:t>
      </w:r>
    </w:p>
    <w:bookmarkEnd w:id="2"/>
    <w:p w14:paraId="76365889" w14:textId="77777777" w:rsidR="00A63349" w:rsidRDefault="00000000">
      <w:pPr>
        <w:pStyle w:val="normal1"/>
        <w:numPr>
          <w:ilvl w:val="0"/>
          <w:numId w:val="1"/>
        </w:numPr>
        <w:jc w:val="left"/>
      </w:pPr>
      <w:r>
        <w:rPr>
          <w:sz w:val="26"/>
          <w:szCs w:val="26"/>
        </w:rPr>
        <w:t>Разработка прототипа</w:t>
      </w:r>
    </w:p>
    <w:p w14:paraId="1DEF7197" w14:textId="77777777" w:rsidR="00A63349" w:rsidRDefault="00000000">
      <w:pPr>
        <w:pStyle w:val="normal1"/>
        <w:numPr>
          <w:ilvl w:val="1"/>
          <w:numId w:val="1"/>
        </w:numPr>
        <w:jc w:val="left"/>
      </w:pPr>
      <w:r>
        <w:rPr>
          <w:sz w:val="26"/>
          <w:szCs w:val="26"/>
        </w:rPr>
        <w:t xml:space="preserve">Разработка макета интерфейса в </w:t>
      </w:r>
      <w:proofErr w:type="spellStart"/>
      <w:r>
        <w:rPr>
          <w:sz w:val="26"/>
          <w:szCs w:val="26"/>
        </w:rPr>
        <w:t>figma</w:t>
      </w:r>
      <w:proofErr w:type="spellEnd"/>
    </w:p>
    <w:p w14:paraId="05E55E0A" w14:textId="77777777" w:rsidR="00A63349" w:rsidRDefault="00000000">
      <w:pPr>
        <w:pStyle w:val="normal1"/>
        <w:numPr>
          <w:ilvl w:val="0"/>
          <w:numId w:val="1"/>
        </w:numPr>
        <w:jc w:val="left"/>
      </w:pPr>
      <w:r>
        <w:rPr>
          <w:sz w:val="26"/>
          <w:szCs w:val="26"/>
        </w:rPr>
        <w:t>Тестирование и оценка качества</w:t>
      </w:r>
    </w:p>
    <w:p w14:paraId="4B55513E" w14:textId="77777777" w:rsidR="00A63349" w:rsidRDefault="00000000">
      <w:pPr>
        <w:pStyle w:val="normal1"/>
        <w:numPr>
          <w:ilvl w:val="1"/>
          <w:numId w:val="1"/>
        </w:numPr>
        <w:jc w:val="left"/>
      </w:pPr>
      <w:r>
        <w:rPr>
          <w:sz w:val="26"/>
          <w:szCs w:val="26"/>
        </w:rPr>
        <w:t>Изучение работы в системе контроля версий, настройка</w:t>
      </w:r>
    </w:p>
    <w:p w14:paraId="231A866D" w14:textId="77777777" w:rsidR="00A63349" w:rsidRDefault="00000000">
      <w:pPr>
        <w:pStyle w:val="normal1"/>
        <w:numPr>
          <w:ilvl w:val="1"/>
          <w:numId w:val="1"/>
        </w:numPr>
        <w:jc w:val="left"/>
      </w:pPr>
      <w:r>
        <w:rPr>
          <w:sz w:val="26"/>
          <w:szCs w:val="26"/>
        </w:rPr>
        <w:t>Разработка тестового сценария</w:t>
      </w:r>
    </w:p>
    <w:p w14:paraId="4BA3C157" w14:textId="77777777" w:rsidR="00A63349" w:rsidRDefault="00000000">
      <w:pPr>
        <w:pStyle w:val="normal1"/>
        <w:numPr>
          <w:ilvl w:val="1"/>
          <w:numId w:val="1"/>
        </w:numPr>
        <w:jc w:val="left"/>
      </w:pPr>
      <w:r>
        <w:rPr>
          <w:sz w:val="26"/>
          <w:szCs w:val="26"/>
        </w:rPr>
        <w:t>Разработка тестовых пакетов</w:t>
      </w:r>
    </w:p>
    <w:p w14:paraId="643CF3DB" w14:textId="77777777" w:rsidR="00A63349" w:rsidRDefault="00000000">
      <w:pPr>
        <w:pStyle w:val="normal1"/>
        <w:numPr>
          <w:ilvl w:val="1"/>
          <w:numId w:val="1"/>
        </w:numPr>
        <w:jc w:val="left"/>
      </w:pPr>
      <w:r>
        <w:rPr>
          <w:sz w:val="26"/>
          <w:szCs w:val="26"/>
        </w:rPr>
        <w:lastRenderedPageBreak/>
        <w:t>Оценка программных средств с помощью метрик</w:t>
      </w:r>
    </w:p>
    <w:p w14:paraId="1163FCD1" w14:textId="77777777" w:rsidR="00A63349" w:rsidRDefault="00000000">
      <w:pPr>
        <w:pStyle w:val="normal1"/>
        <w:jc w:val="left"/>
      </w:pPr>
      <w:r>
        <w:rPr>
          <w:sz w:val="26"/>
          <w:szCs w:val="26"/>
        </w:rPr>
        <w:t>Заключение (выводы о проделанной работы. Что сделано. Достигнута ли цель. Какие задачи решены. Перспективы развития)</w:t>
      </w:r>
    </w:p>
    <w:p w14:paraId="43E692C0" w14:textId="77777777" w:rsidR="00A63349" w:rsidRDefault="00000000">
      <w:pPr>
        <w:pStyle w:val="normal1"/>
        <w:jc w:val="left"/>
      </w:pPr>
      <w:r>
        <w:rPr>
          <w:sz w:val="26"/>
          <w:szCs w:val="26"/>
        </w:rPr>
        <w:t>Список использованных источников</w:t>
      </w:r>
    </w:p>
    <w:p w14:paraId="7F98ABC2" w14:textId="77777777" w:rsidR="00A63349" w:rsidRDefault="00000000">
      <w:pPr>
        <w:pStyle w:val="normal1"/>
        <w:jc w:val="left"/>
      </w:pPr>
      <w:r>
        <w:rPr>
          <w:sz w:val="26"/>
          <w:szCs w:val="26"/>
        </w:rPr>
        <w:t>Глоссарий</w:t>
      </w:r>
    </w:p>
    <w:p w14:paraId="1F0233C7" w14:textId="77777777" w:rsidR="00A63349" w:rsidRDefault="00000000">
      <w:pPr>
        <w:pStyle w:val="normal1"/>
        <w:jc w:val="left"/>
      </w:pPr>
      <w:r>
        <w:rPr>
          <w:sz w:val="26"/>
          <w:szCs w:val="26"/>
        </w:rPr>
        <w:t>Список аббревиатур</w:t>
      </w:r>
    </w:p>
    <w:p w14:paraId="32892E56" w14:textId="77777777" w:rsidR="00A63349" w:rsidRDefault="00000000">
      <w:pPr>
        <w:pStyle w:val="normal1"/>
        <w:jc w:val="left"/>
        <w:rPr>
          <w:sz w:val="26"/>
          <w:szCs w:val="26"/>
        </w:rPr>
      </w:pPr>
      <w:r>
        <w:rPr>
          <w:sz w:val="26"/>
          <w:szCs w:val="26"/>
        </w:rPr>
        <w:t>Приложение А. Техническое задание</w:t>
      </w:r>
    </w:p>
    <w:p w14:paraId="53C3794D" w14:textId="77777777" w:rsidR="00A63349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 w:clear="all"/>
      </w:r>
    </w:p>
    <w:p w14:paraId="0D115392" w14:textId="77777777" w:rsidR="00A63349" w:rsidRDefault="00000000">
      <w:pPr>
        <w:pStyle w:val="normal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6CBFBE49" w14:textId="77777777" w:rsidR="00A63349" w:rsidRDefault="00000000">
      <w:pPr>
        <w:pStyle w:val="normal1"/>
      </w:pPr>
      <w:r>
        <w:t>В настоящее время глобальная экономическая обстановка находится в стадии изменений и вместе с ними растет потребность в доступных функциональных инструментах для создания визуального контента.</w:t>
      </w:r>
    </w:p>
    <w:p w14:paraId="12F3E3D8" w14:textId="77777777" w:rsidR="00A63349" w:rsidRDefault="00000000">
      <w:pPr>
        <w:pStyle w:val="normal1"/>
      </w:pPr>
      <w:r>
        <w:t>Новые вызовы и требования, поставленные развитием промышленности, рекламной индустрии, медиа и IT-технологий, вызвали увеличенный интерес к имиджу продукта и визуальной коммуникации, что является областью деятельности специалистов по графическому дизайну. Характер работы этих специалистов становится всё более глобальным.</w:t>
      </w:r>
    </w:p>
    <w:p w14:paraId="3178898C" w14:textId="77777777" w:rsidR="00A63349" w:rsidRDefault="00000000">
      <w:pPr>
        <w:pStyle w:val="normal1"/>
      </w:pPr>
      <w:r>
        <w:t xml:space="preserve">При этом не всегда есть возможность привлекать профессиональных дизайнеров или использовать сложное программное обеспечение. В связи с этим вырастает интерес к созданию </w:t>
      </w:r>
      <w:proofErr w:type="gramStart"/>
      <w:r>
        <w:t>продукта</w:t>
      </w:r>
      <w:proofErr w:type="gramEnd"/>
      <w:r>
        <w:t xml:space="preserve"> который мог бы удовлетворить данным требованиям. Кроссплатформенный сервис для создания </w:t>
      </w:r>
      <w:proofErr w:type="spellStart"/>
      <w:r>
        <w:t>Canva</w:t>
      </w:r>
      <w:proofErr w:type="spellEnd"/>
      <w:r>
        <w:t xml:space="preserve"> является одним из сервисов, позволяющий пользователям с любым уровнем подготовки в области графического дизайна создавать качественные визуальные материалы.</w:t>
      </w:r>
    </w:p>
    <w:p w14:paraId="78417C8C" w14:textId="77777777" w:rsidR="00A63349" w:rsidRDefault="00000000">
      <w:pPr>
        <w:pStyle w:val="normal1"/>
      </w:pPr>
      <w:r>
        <w:t xml:space="preserve">Актуальность работы обусловлена </w:t>
      </w:r>
      <w:proofErr w:type="spellStart"/>
      <w:r>
        <w:t>неободимостью</w:t>
      </w:r>
      <w:proofErr w:type="spellEnd"/>
      <w:r>
        <w:t xml:space="preserve"> быстрого и эффективного создания </w:t>
      </w:r>
      <w:proofErr w:type="spellStart"/>
      <w:r>
        <w:t>графичекого</w:t>
      </w:r>
      <w:proofErr w:type="spellEnd"/>
      <w:r>
        <w:t xml:space="preserve"> </w:t>
      </w:r>
      <w:proofErr w:type="spellStart"/>
      <w:r>
        <w:t>кнонтента</w:t>
      </w:r>
      <w:proofErr w:type="spellEnd"/>
      <w:r>
        <w:t xml:space="preserve"> для различных задач, такие </w:t>
      </w:r>
      <w:proofErr w:type="gramStart"/>
      <w:r>
        <w:t>как :</w:t>
      </w:r>
      <w:proofErr w:type="gramEnd"/>
      <w:r>
        <w:t xml:space="preserve"> создание презентаций, оформление рекламных баннеров, организация инфографики и многого другого. Сервис </w:t>
      </w:r>
      <w:proofErr w:type="spellStart"/>
      <w:r>
        <w:t>Canva</w:t>
      </w:r>
      <w:proofErr w:type="spellEnd"/>
      <w:r>
        <w:t xml:space="preserve"> предоставляет доступ к дизайну на любых </w:t>
      </w:r>
      <w:proofErr w:type="spellStart"/>
      <w:r>
        <w:t>устройстах</w:t>
      </w:r>
      <w:proofErr w:type="spellEnd"/>
      <w:r>
        <w:t xml:space="preserve"> и не требует специальной подготовки, что повышает интерес таких пользователей как: студенты и педагоги образовательных заведений, </w:t>
      </w:r>
      <w:proofErr w:type="spellStart"/>
      <w:r>
        <w:t>марекотологи</w:t>
      </w:r>
      <w:proofErr w:type="spellEnd"/>
      <w:r>
        <w:t xml:space="preserve"> и </w:t>
      </w:r>
      <w:proofErr w:type="spellStart"/>
      <w:r>
        <w:t>предпрениматели</w:t>
      </w:r>
      <w:proofErr w:type="spellEnd"/>
      <w:r>
        <w:t xml:space="preserve"> представляющие интересы компаний. </w:t>
      </w:r>
    </w:p>
    <w:p w14:paraId="03540C03" w14:textId="77777777" w:rsidR="00A63349" w:rsidRDefault="00000000">
      <w:pPr>
        <w:pStyle w:val="normal1"/>
      </w:pPr>
      <w:r>
        <w:t xml:space="preserve">Целью данной работы является изучение кроссплатформенного сервиса </w:t>
      </w:r>
      <w:proofErr w:type="spellStart"/>
      <w:r>
        <w:t>Canva</w:t>
      </w:r>
      <w:proofErr w:type="spellEnd"/>
      <w:r>
        <w:t xml:space="preserve"> для разработки подробного технического задания на основе исследования функциональных возможностей сервиса и особенности применения в сфере </w:t>
      </w:r>
      <w:proofErr w:type="spellStart"/>
      <w:r>
        <w:t>графияческого</w:t>
      </w:r>
      <w:proofErr w:type="spellEnd"/>
      <w:r>
        <w:t xml:space="preserve"> дизайна.</w:t>
      </w:r>
    </w:p>
    <w:p w14:paraId="4A5D7A06" w14:textId="77777777" w:rsidR="00A63349" w:rsidRDefault="00000000">
      <w:pPr>
        <w:pStyle w:val="normal1"/>
      </w:pPr>
      <w:r>
        <w:t>Для достижения поставленной цели следует решить следующий задачи:</w:t>
      </w:r>
    </w:p>
    <w:p w14:paraId="7F1F1517" w14:textId="77777777" w:rsidR="00A63349" w:rsidRDefault="00000000">
      <w:pPr>
        <w:pStyle w:val="normal1"/>
        <w:numPr>
          <w:ilvl w:val="0"/>
          <w:numId w:val="3"/>
        </w:numPr>
      </w:pPr>
      <w:r>
        <w:t xml:space="preserve">Изучить теоретические основы графического дизайна и принципы кроссплатформенных решений. </w:t>
      </w:r>
    </w:p>
    <w:p w14:paraId="66790D30" w14:textId="77777777" w:rsidR="00A63349" w:rsidRDefault="00000000">
      <w:pPr>
        <w:pStyle w:val="normal1"/>
        <w:numPr>
          <w:ilvl w:val="0"/>
          <w:numId w:val="3"/>
        </w:numPr>
      </w:pPr>
      <w:r>
        <w:t xml:space="preserve">Провести обзор функционала </w:t>
      </w:r>
      <w:proofErr w:type="spellStart"/>
      <w:r>
        <w:t>Canva</w:t>
      </w:r>
      <w:proofErr w:type="spellEnd"/>
      <w:r>
        <w:t xml:space="preserve"> и его ключевых возможностей</w:t>
      </w:r>
    </w:p>
    <w:p w14:paraId="4CFBD1C3" w14:textId="77777777" w:rsidR="00A63349" w:rsidRDefault="00000000">
      <w:pPr>
        <w:pStyle w:val="normal1"/>
        <w:numPr>
          <w:ilvl w:val="0"/>
          <w:numId w:val="3"/>
        </w:numPr>
      </w:pPr>
      <w:r>
        <w:t>Проанализировать интерфейс и доступность платформы для различных категорий пользователя</w:t>
      </w:r>
    </w:p>
    <w:p w14:paraId="73AB122F" w14:textId="77777777" w:rsidR="00A63349" w:rsidRDefault="00000000">
      <w:pPr>
        <w:pStyle w:val="normal1"/>
        <w:numPr>
          <w:ilvl w:val="0"/>
          <w:numId w:val="3"/>
        </w:numPr>
      </w:pPr>
      <w:proofErr w:type="spellStart"/>
      <w:r>
        <w:t>Рассммотреть</w:t>
      </w:r>
      <w:proofErr w:type="spellEnd"/>
      <w:r>
        <w:t xml:space="preserve"> примеры практического применения сервиса </w:t>
      </w:r>
      <w:proofErr w:type="spellStart"/>
      <w:r>
        <w:t>Canva</w:t>
      </w:r>
      <w:proofErr w:type="spellEnd"/>
      <w:r>
        <w:t xml:space="preserve"> </w:t>
      </w:r>
    </w:p>
    <w:p w14:paraId="04E587F1" w14:textId="77777777" w:rsidR="00A63349" w:rsidRDefault="00000000">
      <w:pPr>
        <w:pStyle w:val="normal1"/>
        <w:numPr>
          <w:ilvl w:val="0"/>
          <w:numId w:val="3"/>
        </w:numPr>
      </w:pPr>
      <w:r>
        <w:t>Реализовать построение диаграмм и таблиц для программного средства</w:t>
      </w:r>
    </w:p>
    <w:p w14:paraId="749CED8F" w14:textId="77777777" w:rsidR="00A63349" w:rsidRDefault="00000000">
      <w:pPr>
        <w:pStyle w:val="normal1"/>
        <w:numPr>
          <w:ilvl w:val="0"/>
          <w:numId w:val="3"/>
        </w:numPr>
      </w:pPr>
      <w:r>
        <w:t xml:space="preserve">Сравнить </w:t>
      </w:r>
      <w:proofErr w:type="spellStart"/>
      <w:r>
        <w:t>Canva</w:t>
      </w:r>
      <w:proofErr w:type="spellEnd"/>
      <w:r>
        <w:t xml:space="preserve"> с другими аналогичными сервисами </w:t>
      </w:r>
    </w:p>
    <w:p w14:paraId="43526BF4" w14:textId="77777777" w:rsidR="00A63349" w:rsidRDefault="00000000">
      <w:pPr>
        <w:pStyle w:val="normal1"/>
        <w:numPr>
          <w:ilvl w:val="0"/>
          <w:numId w:val="3"/>
        </w:numPr>
      </w:pPr>
      <w:r>
        <w:t>Постановка выводов исходя из анализа предметной области и оформление технического задания</w:t>
      </w:r>
    </w:p>
    <w:p w14:paraId="4C0443C9" w14:textId="77777777" w:rsidR="00A63349" w:rsidRDefault="00000000">
      <w:pPr>
        <w:pStyle w:val="normal1"/>
      </w:pPr>
      <w:r>
        <w:lastRenderedPageBreak/>
        <w:t>Объектом исследования является процесс разработки технического задания в рамках учебной практики по профессиональному модулю ПМ.02 осуществление интеграции программных модулей.</w:t>
      </w:r>
    </w:p>
    <w:p w14:paraId="5AA94F2F" w14:textId="77777777" w:rsidR="00A63349" w:rsidRDefault="00000000">
      <w:pPr>
        <w:pStyle w:val="normal1"/>
      </w:pPr>
      <w:r>
        <w:t xml:space="preserve">Предметом исследования является кроссплатформенный сервис графического дизайна </w:t>
      </w:r>
      <w:proofErr w:type="spellStart"/>
      <w:r>
        <w:t>Canva</w:t>
      </w:r>
      <w:proofErr w:type="spellEnd"/>
      <w:r>
        <w:t xml:space="preserve">, </w:t>
      </w:r>
      <w:proofErr w:type="spellStart"/>
      <w:r>
        <w:t>предоставлящую</w:t>
      </w:r>
      <w:proofErr w:type="spellEnd"/>
      <w:r>
        <w:t xml:space="preserve"> инструменты для создания графики.</w:t>
      </w:r>
    </w:p>
    <w:p w14:paraId="2C4F9DC2" w14:textId="77777777" w:rsidR="00A63349" w:rsidRDefault="00000000">
      <w:pPr>
        <w:pStyle w:val="normal1"/>
      </w:pPr>
      <w:r>
        <w:t xml:space="preserve">. </w:t>
      </w:r>
    </w:p>
    <w:p w14:paraId="0563F399" w14:textId="77777777" w:rsidR="00A63349" w:rsidRDefault="00A63349">
      <w:pPr>
        <w:pStyle w:val="normal1"/>
        <w:rPr>
          <w:sz w:val="28"/>
          <w:szCs w:val="28"/>
        </w:rPr>
      </w:pPr>
    </w:p>
    <w:p w14:paraId="6684D912" w14:textId="77777777" w:rsidR="00A63349" w:rsidRDefault="00000000">
      <w:pPr>
        <w:pStyle w:val="normal1"/>
        <w:numPr>
          <w:ilvl w:val="0"/>
          <w:numId w:val="2"/>
        </w:num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Анализ предметной области</w:t>
      </w:r>
    </w:p>
    <w:p w14:paraId="118872FD" w14:textId="77777777" w:rsidR="00A63349" w:rsidRDefault="00000000">
      <w:pPr>
        <w:pStyle w:val="normal1"/>
        <w:ind w:left="360"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t xml:space="preserve">В современном мире графический дизайн стал важным </w:t>
      </w:r>
      <w:proofErr w:type="spellStart"/>
      <w:r>
        <w:t>эелементом</w:t>
      </w:r>
      <w:proofErr w:type="spellEnd"/>
      <w:r>
        <w:t xml:space="preserve"> в </w:t>
      </w:r>
      <w:proofErr w:type="spellStart"/>
      <w:r>
        <w:t>маркентинговой</w:t>
      </w:r>
      <w:proofErr w:type="spellEnd"/>
      <w:r>
        <w:t xml:space="preserve"> стратегии и визуальной коммуникации организаций различного уровня. Информация в области дизайна все чаще становятся недоступными для широкой аудитории, не обладающей специализированными навыками, что может </w:t>
      </w:r>
      <w:proofErr w:type="spellStart"/>
      <w:r>
        <w:t>выражатся</w:t>
      </w:r>
      <w:proofErr w:type="spellEnd"/>
      <w:r>
        <w:t xml:space="preserve"> в проблеме нехватки специалистов. Решением этой проблемы могут выступать такие платформы такие как сервис </w:t>
      </w:r>
      <w:proofErr w:type="spellStart"/>
      <w:r>
        <w:t>Canva</w:t>
      </w:r>
      <w:proofErr w:type="spellEnd"/>
      <w:r>
        <w:t xml:space="preserve">, предоставляющие пользователям интуитивно понятные инструменты для создания визуального контента. </w:t>
      </w:r>
    </w:p>
    <w:p w14:paraId="3AB01985" w14:textId="77777777" w:rsidR="00A63349" w:rsidRDefault="00000000">
      <w:pPr>
        <w:pStyle w:val="normal1"/>
        <w:ind w:left="360" w:firstLine="360"/>
        <w:rPr>
          <w:color w:val="202122"/>
        </w:rPr>
      </w:pPr>
      <w:proofErr w:type="spellStart"/>
      <w:r>
        <w:t>Canva</w:t>
      </w:r>
      <w:proofErr w:type="spellEnd"/>
      <w:r>
        <w:t xml:space="preserve"> </w:t>
      </w:r>
      <w:r>
        <w:rPr>
          <w:color w:val="202122"/>
          <w:highlight w:val="white"/>
        </w:rPr>
        <w:t> </w:t>
      </w:r>
      <w:hyperlink r:id="rId7" w:tooltip="Кроссплатформенность" w:history="1">
        <w:r>
          <w:rPr>
            <w:rStyle w:val="afd"/>
            <w:color w:val="0645AD"/>
            <w:u w:val="none"/>
          </w:rPr>
          <w:t>—</w:t>
        </w:r>
      </w:hyperlink>
      <w:r>
        <w:rPr>
          <w:color w:val="202122"/>
          <w:highlight w:val="white"/>
        </w:rPr>
        <w:t> онлайн-сервис для</w:t>
      </w:r>
      <w:r>
        <w:t xml:space="preserve"> графического дизайна</w:t>
      </w:r>
      <w:r>
        <w:rPr>
          <w:color w:val="202122"/>
          <w:highlight w:val="white"/>
        </w:rPr>
        <w:t>, основанный в 2013 году.</w:t>
      </w:r>
      <w:r>
        <w:rPr>
          <w:color w:val="202122"/>
        </w:rPr>
        <w:t xml:space="preserve"> </w:t>
      </w:r>
      <w:r>
        <w:rPr>
          <w:color w:val="202122"/>
          <w:highlight w:val="white"/>
        </w:rPr>
        <w:t xml:space="preserve">Создание изображений в сервисе строится на принципе перетаскивания готовых элементов и варьировании изменяемых шаблонов. Графический редактор даёт доступ к встроенной богатой библиотеке шаблонов, стоковых фотографий, </w:t>
      </w:r>
      <w:proofErr w:type="spellStart"/>
      <w:r>
        <w:rPr>
          <w:color w:val="202122"/>
          <w:highlight w:val="white"/>
        </w:rPr>
        <w:t>илюстраций</w:t>
      </w:r>
      <w:proofErr w:type="spellEnd"/>
      <w:r>
        <w:fldChar w:fldCharType="begin"/>
      </w:r>
      <w:r>
        <w:instrText>HYPERLINK "https://ru.wikipedia.org/wiki/%D0%98%D0%BB%D0%BB%D1%8E%D1%81%D1%82%D1%80%D0%B0%D1%86%D0%B8%D1%8F" \o "Иллюстрация"</w:instrText>
      </w:r>
      <w:r>
        <w:fldChar w:fldCharType="separate"/>
      </w:r>
      <w:r>
        <w:rPr>
          <w:rStyle w:val="afd"/>
          <w:color w:val="0645AD"/>
          <w:u w:val="none"/>
        </w:rPr>
        <w:t xml:space="preserve"> </w:t>
      </w:r>
      <w:r>
        <w:rPr>
          <w:rStyle w:val="afd"/>
          <w:color w:val="0645AD"/>
          <w:u w:val="none"/>
        </w:rPr>
        <w:fldChar w:fldCharType="end"/>
      </w:r>
      <w:r>
        <w:rPr>
          <w:color w:val="202122"/>
          <w:highlight w:val="white"/>
        </w:rPr>
        <w:t xml:space="preserve">и шрифтов. </w:t>
      </w:r>
    </w:p>
    <w:p w14:paraId="10CFD358" w14:textId="77777777" w:rsidR="00A63349" w:rsidRDefault="00000000">
      <w:pPr>
        <w:pStyle w:val="normal1"/>
        <w:ind w:left="360" w:firstLine="360"/>
        <w:rPr>
          <w:color w:val="202122"/>
        </w:rPr>
      </w:pPr>
      <w:r>
        <w:rPr>
          <w:color w:val="202122"/>
        </w:rPr>
        <w:t>Целевой аудиторией данного сервиса можно выделить в следующие группы:</w:t>
      </w:r>
    </w:p>
    <w:p w14:paraId="0FEB8A26" w14:textId="77777777" w:rsidR="00A63349" w:rsidRDefault="00000000">
      <w:pPr>
        <w:pStyle w:val="normal1"/>
        <w:numPr>
          <w:ilvl w:val="0"/>
          <w:numId w:val="4"/>
        </w:numPr>
        <w:rPr>
          <w:color w:val="202122"/>
        </w:rPr>
      </w:pPr>
      <w:r>
        <w:rPr>
          <w:color w:val="202122"/>
        </w:rPr>
        <w:t xml:space="preserve">Частные пользователи. </w:t>
      </w:r>
    </w:p>
    <w:p w14:paraId="5A1F899A" w14:textId="77777777" w:rsidR="00A63349" w:rsidRDefault="00000000">
      <w:pPr>
        <w:pStyle w:val="normal1"/>
        <w:numPr>
          <w:ilvl w:val="0"/>
          <w:numId w:val="4"/>
        </w:numPr>
        <w:rPr>
          <w:color w:val="202122"/>
        </w:rPr>
      </w:pPr>
      <w:r>
        <w:rPr>
          <w:color w:val="202122"/>
        </w:rPr>
        <w:t>Малый и средний бизнес.</w:t>
      </w:r>
    </w:p>
    <w:p w14:paraId="06EEC2D3" w14:textId="77777777" w:rsidR="00A63349" w:rsidRDefault="00000000">
      <w:pPr>
        <w:pStyle w:val="normal1"/>
        <w:numPr>
          <w:ilvl w:val="0"/>
          <w:numId w:val="4"/>
        </w:numPr>
        <w:rPr>
          <w:color w:val="202122"/>
        </w:rPr>
      </w:pPr>
      <w:r>
        <w:rPr>
          <w:color w:val="202122"/>
        </w:rPr>
        <w:t>Образовательные учреждения.</w:t>
      </w:r>
    </w:p>
    <w:p w14:paraId="10B4BF05" w14:textId="77777777" w:rsidR="00A63349" w:rsidRDefault="00000000">
      <w:pPr>
        <w:pStyle w:val="normal1"/>
        <w:numPr>
          <w:ilvl w:val="0"/>
          <w:numId w:val="4"/>
        </w:numPr>
        <w:rPr>
          <w:color w:val="202122"/>
        </w:rPr>
      </w:pPr>
      <w:r>
        <w:rPr>
          <w:color w:val="202122"/>
        </w:rPr>
        <w:t xml:space="preserve">Некоммерческие </w:t>
      </w:r>
      <w:proofErr w:type="gramStart"/>
      <w:r>
        <w:rPr>
          <w:color w:val="202122"/>
        </w:rPr>
        <w:t>организации .</w:t>
      </w:r>
      <w:proofErr w:type="gramEnd"/>
    </w:p>
    <w:p w14:paraId="0110D64C" w14:textId="77777777" w:rsidR="00A63349" w:rsidRDefault="00000000">
      <w:pPr>
        <w:pStyle w:val="normal1"/>
        <w:ind w:left="360" w:firstLine="360"/>
        <w:rPr>
          <w:color w:val="202122"/>
        </w:rPr>
      </w:pPr>
      <w:r>
        <w:rPr>
          <w:color w:val="202122"/>
          <w:highlight w:val="white"/>
        </w:rPr>
        <w:t xml:space="preserve"> На платформе можно создавать как изображения для публикации в интернете, так и макеты для полиграфической продукции</w:t>
      </w:r>
      <w:r>
        <w:rPr>
          <w:color w:val="202122"/>
        </w:rPr>
        <w:t xml:space="preserve">, что позволяет расширить использование дизайна в разных сферах деятельности. Платформа представляет ряд тарифных планов с предоставлением дополнительного функционала и возможностей, таких как возможность работы в </w:t>
      </w:r>
      <w:proofErr w:type="spellStart"/>
      <w:r>
        <w:rPr>
          <w:color w:val="202122"/>
        </w:rPr>
        <w:t>комаде</w:t>
      </w:r>
      <w:proofErr w:type="spellEnd"/>
      <w:r>
        <w:rPr>
          <w:color w:val="202122"/>
        </w:rPr>
        <w:t xml:space="preserve">.  </w:t>
      </w:r>
    </w:p>
    <w:p w14:paraId="7DF9CCEA" w14:textId="77777777" w:rsidR="00A63349" w:rsidRDefault="00A63349">
      <w:pPr>
        <w:pStyle w:val="normal1"/>
        <w:ind w:firstLine="0"/>
        <w:jc w:val="left"/>
        <w:rPr>
          <w:b/>
          <w:bCs/>
          <w:sz w:val="26"/>
          <w:szCs w:val="26"/>
        </w:rPr>
      </w:pPr>
    </w:p>
    <w:p w14:paraId="73372CC2" w14:textId="77777777" w:rsidR="00A633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  <w:t>История компании начинается с 1 января 2013 года когда компания была основана Мелани Перкинс в </w:t>
      </w:r>
      <w:hyperlink r:id="rId8" w:tooltip="Сидней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</w:rPr>
          <w:t>Сиднее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, </w:t>
      </w:r>
      <w:hyperlink r:id="rId9" w:tooltip="Австралия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</w:rPr>
          <w:t>Австралия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. На 1 января 2014 платформа насчитывала 150 тысяч пользователей. В апреле 2014 года к компании присоединился эксперт по социальным медиа и технологиям </w:t>
      </w:r>
      <w:hyperlink r:id="rId10" w:tooltip="Кавасаки, Гай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</w:rPr>
          <w:t>Гай Кавасаки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 в качестве главного евангелиста</w:t>
      </w:r>
      <w:hyperlink r:id="rId11" w:anchor="cite_note-canva-2" w:tooltip="https://ru.wikipedia.org/wiki/Canva#cite_note-canva-2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  <w:vertAlign w:val="superscript"/>
          </w:rPr>
          <w:t>[2]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6BD0EAE" w14:textId="77777777" w:rsidR="00A633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В 2017 году на </w:t>
      </w:r>
      <w:hyperlink r:id="rId12" w:tooltip="Русский язык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</w:rPr>
          <w:t>русском языке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стал доступен фоторедактор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Canva</w:t>
      </w:r>
      <w:proofErr w:type="spellEnd"/>
      <w:r>
        <w:fldChar w:fldCharType="begin"/>
      </w:r>
      <w:r>
        <w:instrText>HYPERLINK "https://ru.wikipedia.org/wiki/Canva" \l "cite_note-cnews-3" \o "https://ru.wikipedia.org/wiki/Canva#cite_note-cnews-3"</w:instrText>
      </w:r>
      <w:r>
        <w:fldChar w:fldCharType="separate"/>
      </w:r>
      <w:r>
        <w:rPr>
          <w:rStyle w:val="afd"/>
          <w:rFonts w:ascii="Times New Roman" w:eastAsia="Times New Roman" w:hAnsi="Times New Roman" w:cs="Times New Roman"/>
          <w:color w:val="0645AD"/>
          <w:sz w:val="24"/>
          <w:szCs w:val="24"/>
          <w:u w:val="none"/>
          <w:vertAlign w:val="superscript"/>
        </w:rPr>
        <w:t>[3]</w:t>
      </w:r>
      <w:r>
        <w:rPr>
          <w:rStyle w:val="afd"/>
          <w:rFonts w:ascii="Times New Roman" w:eastAsia="Times New Roman" w:hAnsi="Times New Roman" w:cs="Times New Roman"/>
          <w:color w:val="0645AD"/>
          <w:sz w:val="24"/>
          <w:szCs w:val="24"/>
          <w:u w:val="none"/>
          <w:vertAlign w:val="superscript"/>
        </w:rPr>
        <w:fldChar w:fldCharType="end"/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. В 2018-м на русский также было переведено мобильное приложение сервиса для </w:t>
      </w:r>
      <w:proofErr w:type="spellStart"/>
      <w:r>
        <w:fldChar w:fldCharType="begin"/>
      </w:r>
      <w:r>
        <w:instrText>HYPERLINK "https://ru.wikipedia.org/wiki/Android" \o "Android"</w:instrText>
      </w:r>
      <w:r>
        <w:fldChar w:fldCharType="separate"/>
      </w:r>
      <w:r>
        <w:rPr>
          <w:rStyle w:val="afd"/>
          <w:rFonts w:ascii="Times New Roman" w:eastAsia="Times New Roman" w:hAnsi="Times New Roman" w:cs="Times New Roman"/>
          <w:color w:val="0645AD"/>
          <w:sz w:val="24"/>
          <w:szCs w:val="24"/>
          <w:u w:val="none"/>
        </w:rPr>
        <w:t>Android</w:t>
      </w:r>
      <w:proofErr w:type="spellEnd"/>
      <w:r>
        <w:rPr>
          <w:rStyle w:val="afd"/>
          <w:rFonts w:ascii="Times New Roman" w:eastAsia="Times New Roman" w:hAnsi="Times New Roman" w:cs="Times New Roman"/>
          <w:color w:val="0645AD"/>
          <w:sz w:val="24"/>
          <w:szCs w:val="24"/>
          <w:u w:val="none"/>
        </w:rPr>
        <w:fldChar w:fldCharType="end"/>
      </w:r>
      <w:hyperlink r:id="rId13" w:anchor="cite_note-fanandr-4" w:tooltip="https://ru.wikipedia.org/wiki/Canva#cite_note-fanandr-4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  <w:vertAlign w:val="superscript"/>
          </w:rPr>
          <w:t>[4]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 и ряд бесплатных шаблонов для школьного образования</w:t>
      </w:r>
      <w:hyperlink r:id="rId14" w:anchor="cite_note-edut-5" w:tooltip="https://ru.wikipedia.org/wiki/Canva#cite_note-edut-5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  <w:vertAlign w:val="superscript"/>
          </w:rPr>
          <w:t>[5]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3DE8FAF5" w14:textId="77777777" w:rsidR="00A633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На 2018 год в компании работают около 200 человек с офисами в Сиднее, </w:t>
      </w:r>
      <w:hyperlink r:id="rId15" w:tooltip="Пекин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</w:rPr>
          <w:t>Пекине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 и </w:t>
      </w:r>
      <w:hyperlink r:id="rId16" w:tooltip="Манила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</w:rPr>
          <w:t>Маниле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В январе 2018 года генеральный директор Мелани Перкинс анонсировала новый раунд инвестиций в 40 млн долларов США от Sequoia Capital,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Blackbird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Ventures,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Felicis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Ventures, а капитализация компании достигла 1 млрд долларов США</w:t>
      </w:r>
      <w:hyperlink r:id="rId17" w:anchor="cite_note-newsstart-6" w:tooltip="https://ru.wikipedia.org/wiki/Canva#cite_note-newsstart-6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  <w:vertAlign w:val="superscript"/>
          </w:rPr>
          <w:t>[6]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DF0695D" w14:textId="77777777" w:rsidR="00A633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1 июня 2022 года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Canva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ограничила доступ пользователям из </w:t>
      </w:r>
      <w:hyperlink r:id="rId18" w:tooltip="Россия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</w:rPr>
          <w:t>России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 в связи с </w:t>
      </w:r>
      <w:hyperlink r:id="rId19" w:tooltip="Вторжение России на Украину (с 2022)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</w:rPr>
          <w:t>вторжением России на Украину</w:t>
        </w:r>
      </w:hyperlink>
      <w:hyperlink r:id="rId20" w:anchor="cite_note-7" w:tooltip="https://ru.wikipedia.org/wiki/Canva#cite_note-7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  <w:vertAlign w:val="superscript"/>
          </w:rPr>
          <w:t>[7]</w:t>
        </w:r>
      </w:hyperlink>
      <w:hyperlink r:id="rId21" w:anchor="cite_note-8" w:tooltip="https://ru.wikipedia.org/wiki/Canva#cite_note-8" w:history="1">
        <w:r>
          <w:rPr>
            <w:rStyle w:val="afd"/>
            <w:rFonts w:ascii="Times New Roman" w:eastAsia="Times New Roman" w:hAnsi="Times New Roman" w:cs="Times New Roman"/>
            <w:color w:val="0645AD"/>
            <w:sz w:val="24"/>
            <w:szCs w:val="24"/>
            <w:u w:val="none"/>
            <w:vertAlign w:val="superscript"/>
          </w:rPr>
          <w:t>[8]</w:t>
        </w:r>
      </w:hyperlink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7B06DEE3" w14:textId="77777777" w:rsidR="00A633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120"/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В апреле 2025 года в редакторе появились инструменты на основе ИИ для генерации изображений и создания мини-приложений по тестовым запросам</w:t>
      </w:r>
      <w:hyperlink r:id="rId22" w:anchor="cite_note-9" w:tooltip="https://ru.wikipedia.org/wiki/Canva#cite_note-9" w:history="1">
        <w:r>
          <w:rPr>
            <w:rStyle w:val="afd"/>
            <w:color w:val="0645AD"/>
            <w:sz w:val="18"/>
            <w:u w:val="none"/>
            <w:vertAlign w:val="superscript"/>
          </w:rPr>
          <w:t>[9]</w:t>
        </w:r>
      </w:hyperlink>
      <w:r>
        <w:rPr>
          <w:color w:val="202122"/>
          <w:sz w:val="21"/>
        </w:rPr>
        <w:t>.</w:t>
      </w:r>
    </w:p>
    <w:p w14:paraId="51A19CF4" w14:textId="77777777" w:rsidR="00A63349" w:rsidRDefault="00A63349">
      <w:pPr>
        <w:pStyle w:val="normal1"/>
        <w:ind w:left="360" w:firstLine="0"/>
        <w:rPr>
          <w:color w:val="202122"/>
        </w:rPr>
      </w:pPr>
    </w:p>
    <w:p w14:paraId="53B0E743" w14:textId="1A9FCF91" w:rsidR="00D80DB3" w:rsidRPr="00D80DB3" w:rsidRDefault="00D80DB3" w:rsidP="00D80DB3">
      <w:pPr>
        <w:pStyle w:val="normal1"/>
        <w:ind w:left="360" w:firstLine="0"/>
        <w:jc w:val="center"/>
        <w:rPr>
          <w:b/>
          <w:bCs/>
          <w:color w:val="202122"/>
          <w:sz w:val="28"/>
          <w:szCs w:val="28"/>
        </w:rPr>
      </w:pPr>
      <w:r w:rsidRPr="00D80DB3">
        <w:rPr>
          <w:b/>
          <w:bCs/>
          <w:color w:val="202122"/>
          <w:sz w:val="28"/>
          <w:szCs w:val="28"/>
        </w:rPr>
        <w:t>2.</w:t>
      </w:r>
      <w:r w:rsidRPr="00D80DB3">
        <w:rPr>
          <w:b/>
          <w:bCs/>
          <w:color w:val="202122"/>
          <w:sz w:val="28"/>
          <w:szCs w:val="28"/>
        </w:rPr>
        <w:tab/>
        <w:t>Построение функциональной архитектуры программного средства</w:t>
      </w:r>
    </w:p>
    <w:p w14:paraId="68CA4C61" w14:textId="77777777" w:rsidR="00C337CE" w:rsidRPr="00095480" w:rsidRDefault="00C337CE" w:rsidP="00C337CE">
      <w:pPr>
        <w:pStyle w:val="normal1"/>
        <w:numPr>
          <w:ilvl w:val="1"/>
          <w:numId w:val="8"/>
        </w:numPr>
        <w:jc w:val="left"/>
      </w:pPr>
      <w:r>
        <w:rPr>
          <w:sz w:val="26"/>
          <w:szCs w:val="26"/>
        </w:rPr>
        <w:t>Построение ER-диаграммы</w:t>
      </w:r>
    </w:p>
    <w:p w14:paraId="1CF010BF" w14:textId="0F899C18" w:rsidR="00095480" w:rsidRPr="00C337CE" w:rsidRDefault="00095480" w:rsidP="00095480">
      <w:pPr>
        <w:pStyle w:val="normal1"/>
        <w:ind w:left="720" w:firstLine="0"/>
        <w:jc w:val="left"/>
      </w:pPr>
      <w:r>
        <w:rPr>
          <w:noProof/>
        </w:rPr>
        <w:drawing>
          <wp:inline distT="0" distB="0" distL="0" distR="0" wp14:anchorId="2D360323" wp14:editId="741C9A4C">
            <wp:extent cx="5731510" cy="5020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F671" w14:textId="41CDCA8E" w:rsidR="00C337CE" w:rsidRDefault="00095480" w:rsidP="00C337CE">
      <w:pPr>
        <w:pStyle w:val="normal1"/>
        <w:ind w:left="720" w:firstLine="0"/>
        <w:jc w:val="left"/>
      </w:pPr>
      <w:r>
        <w:rPr>
          <w:noProof/>
        </w:rPr>
        <w:lastRenderedPageBreak/>
        <w:drawing>
          <wp:inline distT="0" distB="0" distL="0" distR="0" wp14:anchorId="0EE070FF" wp14:editId="5629E998">
            <wp:extent cx="5731510" cy="3390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BAB" w14:textId="77777777" w:rsidR="00095480" w:rsidRDefault="00095480" w:rsidP="00C337CE">
      <w:pPr>
        <w:pStyle w:val="normal1"/>
        <w:ind w:left="720" w:firstLine="0"/>
        <w:jc w:val="left"/>
      </w:pPr>
    </w:p>
    <w:p w14:paraId="33E124B1" w14:textId="77777777" w:rsidR="00C337CE" w:rsidRDefault="00C337CE" w:rsidP="00C337CE">
      <w:pPr>
        <w:pStyle w:val="normal1"/>
        <w:numPr>
          <w:ilvl w:val="1"/>
          <w:numId w:val="8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Построение диаграммы Вариантов использования и диаграммы </w:t>
      </w:r>
    </w:p>
    <w:p w14:paraId="5F497304" w14:textId="1A08A143" w:rsidR="00C337CE" w:rsidRDefault="00C337CE" w:rsidP="00C337CE">
      <w:pPr>
        <w:pStyle w:val="normal1"/>
        <w:ind w:left="1080" w:firstLine="0"/>
        <w:jc w:val="left"/>
        <w:rPr>
          <w:sz w:val="26"/>
          <w:szCs w:val="26"/>
        </w:rPr>
      </w:pPr>
      <w:r>
        <w:rPr>
          <w:sz w:val="26"/>
          <w:szCs w:val="26"/>
        </w:rPr>
        <w:t>П</w:t>
      </w:r>
      <w:r>
        <w:rPr>
          <w:sz w:val="26"/>
          <w:szCs w:val="26"/>
        </w:rPr>
        <w:t>оследовательности</w:t>
      </w:r>
    </w:p>
    <w:p w14:paraId="58A19CDD" w14:textId="358D82FF" w:rsidR="00C337CE" w:rsidRDefault="00095480" w:rsidP="00C337CE">
      <w:pPr>
        <w:pStyle w:val="normal1"/>
        <w:jc w:val="lef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E73B7E" wp14:editId="06C98C30">
            <wp:extent cx="5731510" cy="583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EE3A" w14:textId="77777777" w:rsidR="00095480" w:rsidRDefault="00095480" w:rsidP="00C337CE">
      <w:pPr>
        <w:pStyle w:val="normal1"/>
        <w:jc w:val="left"/>
        <w:rPr>
          <w:sz w:val="26"/>
          <w:szCs w:val="26"/>
        </w:rPr>
      </w:pPr>
    </w:p>
    <w:p w14:paraId="04797AF8" w14:textId="77777777" w:rsidR="00095480" w:rsidRDefault="00095480" w:rsidP="00C337CE">
      <w:pPr>
        <w:pStyle w:val="normal1"/>
        <w:jc w:val="left"/>
        <w:rPr>
          <w:sz w:val="26"/>
          <w:szCs w:val="26"/>
        </w:rPr>
      </w:pPr>
    </w:p>
    <w:p w14:paraId="1E130819" w14:textId="420D429D" w:rsidR="00095480" w:rsidRDefault="00095480" w:rsidP="00C337CE">
      <w:pPr>
        <w:pStyle w:val="normal1"/>
        <w:jc w:val="lef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C16524" wp14:editId="145806A3">
            <wp:extent cx="5731510" cy="4227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7E4" w14:textId="77777777" w:rsidR="00095480" w:rsidRDefault="00095480" w:rsidP="00C337CE">
      <w:pPr>
        <w:pStyle w:val="normal1"/>
        <w:jc w:val="left"/>
        <w:rPr>
          <w:sz w:val="26"/>
          <w:szCs w:val="26"/>
        </w:rPr>
      </w:pPr>
    </w:p>
    <w:p w14:paraId="1FCE3CB1" w14:textId="77777777" w:rsidR="00C337CE" w:rsidRPr="00C337CE" w:rsidRDefault="00C337CE" w:rsidP="00C337CE">
      <w:pPr>
        <w:pStyle w:val="normal1"/>
        <w:numPr>
          <w:ilvl w:val="1"/>
          <w:numId w:val="8"/>
        </w:numPr>
        <w:jc w:val="left"/>
      </w:pPr>
      <w:r>
        <w:rPr>
          <w:sz w:val="26"/>
          <w:szCs w:val="26"/>
        </w:rPr>
        <w:t>Построение диаграммы Деятельности, диаграммы Классов</w:t>
      </w:r>
    </w:p>
    <w:p w14:paraId="44F7495E" w14:textId="77777777" w:rsidR="00C337CE" w:rsidRDefault="00C337CE" w:rsidP="00C337CE">
      <w:pPr>
        <w:pStyle w:val="normal1"/>
        <w:ind w:left="720" w:firstLine="0"/>
        <w:jc w:val="left"/>
      </w:pPr>
    </w:p>
    <w:p w14:paraId="45FB1CC8" w14:textId="77777777" w:rsidR="00C337CE" w:rsidRDefault="00C337CE" w:rsidP="00C337CE">
      <w:pPr>
        <w:pStyle w:val="normal1"/>
        <w:numPr>
          <w:ilvl w:val="1"/>
          <w:numId w:val="8"/>
        </w:numPr>
        <w:jc w:val="left"/>
      </w:pPr>
      <w:r>
        <w:rPr>
          <w:sz w:val="26"/>
          <w:szCs w:val="26"/>
        </w:rPr>
        <w:t>Построение диаграмм потоков данных</w:t>
      </w:r>
    </w:p>
    <w:p w14:paraId="21031A25" w14:textId="18C5B0FD" w:rsidR="00A63349" w:rsidRDefault="00A63349">
      <w:pPr>
        <w:pStyle w:val="normal1"/>
        <w:ind w:left="360" w:firstLine="0"/>
        <w:rPr>
          <w:sz w:val="26"/>
          <w:szCs w:val="26"/>
        </w:rPr>
      </w:pPr>
    </w:p>
    <w:p w14:paraId="0F0ED3D6" w14:textId="77777777" w:rsidR="00A63349" w:rsidRDefault="00A63349">
      <w:pPr>
        <w:pStyle w:val="normal1"/>
        <w:jc w:val="left"/>
        <w:rPr>
          <w:sz w:val="26"/>
          <w:szCs w:val="26"/>
        </w:rPr>
      </w:pPr>
    </w:p>
    <w:sectPr w:rsidR="00A63349">
      <w:pgSz w:w="11906" w:h="16838"/>
      <w:pgMar w:top="1440" w:right="1440" w:bottom="1440" w:left="1440" w:header="0" w:footer="0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13C5" w14:textId="77777777" w:rsidR="00C70B33" w:rsidRDefault="00C70B33">
      <w:pPr>
        <w:spacing w:line="240" w:lineRule="auto"/>
      </w:pPr>
      <w:r>
        <w:separator/>
      </w:r>
    </w:p>
  </w:endnote>
  <w:endnote w:type="continuationSeparator" w:id="0">
    <w:p w14:paraId="7611FFFB" w14:textId="77777777" w:rsidR="00C70B33" w:rsidRDefault="00C70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309B" w14:textId="77777777" w:rsidR="00C70B33" w:rsidRDefault="00C70B33">
      <w:pPr>
        <w:spacing w:line="240" w:lineRule="auto"/>
      </w:pPr>
      <w:r>
        <w:separator/>
      </w:r>
    </w:p>
  </w:footnote>
  <w:footnote w:type="continuationSeparator" w:id="0">
    <w:p w14:paraId="1C483F7F" w14:textId="77777777" w:rsidR="00C70B33" w:rsidRDefault="00C70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B2C"/>
    <w:multiLevelType w:val="multilevel"/>
    <w:tmpl w:val="7EAC10E6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E4704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6C20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931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92D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C275A4"/>
    <w:multiLevelType w:val="multilevel"/>
    <w:tmpl w:val="E42023F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6F5C77A4"/>
    <w:multiLevelType w:val="multilevel"/>
    <w:tmpl w:val="50B6E1D2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97714C5"/>
    <w:multiLevelType w:val="multilevel"/>
    <w:tmpl w:val="81D2F7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6675080">
    <w:abstractNumId w:val="4"/>
  </w:num>
  <w:num w:numId="2" w16cid:durableId="1971277865">
    <w:abstractNumId w:val="2"/>
  </w:num>
  <w:num w:numId="3" w16cid:durableId="1410611946">
    <w:abstractNumId w:val="0"/>
  </w:num>
  <w:num w:numId="4" w16cid:durableId="907419535">
    <w:abstractNumId w:val="6"/>
  </w:num>
  <w:num w:numId="5" w16cid:durableId="791366546">
    <w:abstractNumId w:val="3"/>
  </w:num>
  <w:num w:numId="6" w16cid:durableId="2069528380">
    <w:abstractNumId w:val="5"/>
  </w:num>
  <w:num w:numId="7" w16cid:durableId="337655732">
    <w:abstractNumId w:val="1"/>
  </w:num>
  <w:num w:numId="8" w16cid:durableId="2045978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349"/>
    <w:rsid w:val="00043947"/>
    <w:rsid w:val="00095480"/>
    <w:rsid w:val="00A63349"/>
    <w:rsid w:val="00C337CE"/>
    <w:rsid w:val="00C70B33"/>
    <w:rsid w:val="00D8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6D86"/>
  <w15:docId w15:val="{99700AEC-5B80-46F8-A5F6-087F7054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normal1"/>
    <w:next w:val="normal1"/>
    <w:link w:val="10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link w:val="20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link w:val="30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link w:val="40"/>
    <w:qFormat/>
    <w:pPr>
      <w:keepNext/>
      <w:keepLines/>
      <w:spacing w:before="280" w:after="80" w:line="240" w:lineRule="auto"/>
      <w:outlineLvl w:val="3"/>
    </w:pPr>
    <w:rPr>
      <w:color w:val="666666"/>
    </w:rPr>
  </w:style>
  <w:style w:type="paragraph" w:styleId="5">
    <w:name w:val="heading 5"/>
    <w:basedOn w:val="normal1"/>
    <w:next w:val="normal1"/>
    <w:link w:val="50"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link w:val="60"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</w:style>
  <w:style w:type="paragraph" w:styleId="a5">
    <w:name w:val="Title"/>
    <w:basedOn w:val="normal1"/>
    <w:next w:val="aff1"/>
    <w:link w:val="a4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ff1">
    <w:name w:val="Body Text"/>
    <w:basedOn w:val="a"/>
    <w:pPr>
      <w:spacing w:after="140"/>
    </w:pPr>
  </w:style>
  <w:style w:type="paragraph" w:styleId="aff2">
    <w:name w:val="List"/>
    <w:basedOn w:val="aff1"/>
    <w:rPr>
      <w:rFonts w:cs="Unifont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Unifont"/>
    </w:rPr>
  </w:style>
  <w:style w:type="paragraph" w:customStyle="1" w:styleId="normal1">
    <w:name w:val="normal1"/>
    <w:qFormat/>
    <w:pPr>
      <w:spacing w:after="160" w:line="259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normal1"/>
    <w:next w:val="normal1"/>
    <w:link w:val="a6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4%D0%BD%D0%B5%D0%B9" TargetMode="External"/><Relationship Id="rId13" Type="http://schemas.openxmlformats.org/officeDocument/2006/relationships/hyperlink" Target="https://ru.wikipedia.org/wiki/Canva" TargetMode="External"/><Relationship Id="rId18" Type="http://schemas.openxmlformats.org/officeDocument/2006/relationships/hyperlink" Target="https://ru.wikipedia.org/wiki/%D0%A0%D0%BE%D1%81%D1%81%D0%B8%D1%8F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Canva" TargetMode="External"/><Relationship Id="rId7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2" Type="http://schemas.openxmlformats.org/officeDocument/2006/relationships/hyperlink" Target="https://ru.wikipedia.org/wiki/%D0%A0%D1%83%D1%81%D1%81%D0%BA%D0%B8%D0%B9_%D1%8F%D0%B7%D1%8B%D0%BA" TargetMode="External"/><Relationship Id="rId17" Type="http://schemas.openxmlformats.org/officeDocument/2006/relationships/hyperlink" Target="https://ru.wikipedia.org/wiki/Canva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0%D0%BD%D0%B8%D0%BB%D0%B0" TargetMode="External"/><Relationship Id="rId20" Type="http://schemas.openxmlformats.org/officeDocument/2006/relationships/hyperlink" Target="https://ru.wikipedia.org/wiki/Canv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Canva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F%D0%B5%D0%BA%D0%B8%D0%BD" TargetMode="External"/><Relationship Id="rId23" Type="http://schemas.openxmlformats.org/officeDocument/2006/relationships/image" Target="media/image1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ru.wikipedia.org/wiki/%D0%9A%D0%B0%D0%B2%D0%B0%D1%81%D0%B0%D0%BA%D0%B8,_%D0%93%D0%B0%D0%B9" TargetMode="External"/><Relationship Id="rId19" Type="http://schemas.openxmlformats.org/officeDocument/2006/relationships/hyperlink" Target="https://ru.wikipedia.org/wiki/%D0%92%D1%82%D0%BE%D1%80%D0%B6%D0%B5%D0%BD%D0%B8%D0%B5_%D0%A0%D0%BE%D1%81%D1%81%D0%B8%D0%B8_%D0%BD%D0%B0_%D0%A3%D0%BA%D1%80%D0%B0%D0%B8%D0%BD%D1%83_(%D1%81_202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2%D1%81%D1%82%D1%80%D0%B0%D0%BB%D0%B8%D1%8F" TargetMode="External"/><Relationship Id="rId14" Type="http://schemas.openxmlformats.org/officeDocument/2006/relationships/hyperlink" Target="https://ru.wikipedia.org/wiki/Canva" TargetMode="External"/><Relationship Id="rId22" Type="http://schemas.openxmlformats.org/officeDocument/2006/relationships/hyperlink" Target="https://ru.wikipedia.org/wiki/Canva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38124C74-3D66-4549-844D-494DA4D91E38}"/>
      </w:docPartPr>
      <w:docPartBody>
        <w:p w:rsidR="000C5C3B" w:rsidRDefault="00000000">
          <w:r>
            <w:t>Введите ваш текст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6B36" w:rsidRDefault="00166B36">
      <w:r>
        <w:separator/>
      </w:r>
    </w:p>
  </w:endnote>
  <w:endnote w:type="continuationSeparator" w:id="0">
    <w:p w:rsidR="00166B36" w:rsidRDefault="00166B36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6B36" w:rsidRDefault="00166B36">
      <w:r>
        <w:separator/>
      </w:r>
    </w:p>
  </w:footnote>
  <w:footnote w:type="continuationSeparator" w:id="0">
    <w:p w:rsidR="00166B36" w:rsidRDefault="00166B36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C3B"/>
    <w:rsid w:val="00043947"/>
    <w:rsid w:val="000C5C3B"/>
    <w:rsid w:val="001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0E2841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6607D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sea moon</cp:lastModifiedBy>
  <cp:revision>5</cp:revision>
  <dcterms:created xsi:type="dcterms:W3CDTF">2025-05-15T13:19:00Z</dcterms:created>
  <dcterms:modified xsi:type="dcterms:W3CDTF">2025-05-15T13:52:00Z</dcterms:modified>
  <dc:language>ru-RU</dc:language>
</cp:coreProperties>
</file>