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库存调拨 / stock transfer</w:t>
      </w:r>
    </w:p>
    <w:p>
      <w:r>
        <w:t xml:space="preserve">id: SKU-204</w:t>
      </w:r>
    </w:p>
    <w:p>
      <w:r>
        <w:t xml:space="preserve">limit: 17</w:t>
      </w:r>
    </w:p>
    <w:p>
      <w:r>
        <w:t xml:space="preserve">conditions: 调拨前必须确认库存；冻结货品不得调拨。 Confirm stock before transfer; frozen items must not be transferred.</w:t>
      </w:r>
    </w:p>
    <w:p>
      <w:r>
        <w:t xml:space="preserve">fields: id, owner, created_at, status</w:t>
      </w:r>
    </w:p>
    <w:p>
      <w:r>
        <w:t xml:space="preserve">distractor: ARCHIVE-999 uses a separate limit of 999. 此限制不适用于当前对象。</w:t>
      </w:r>
    </w:p>
  </w:body>
</w:document>
</file>