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36"/>
        </w:rPr>
        <w:t>🌿 EnviroAssist AI</w:t>
      </w:r>
    </w:p>
    <w:p/>
    <w:p>
      <w:pPr>
        <w:jc w:val="center"/>
      </w:pPr>
      <w:r>
        <w:rPr>
          <w:b/>
          <w:sz w:val="28"/>
        </w:rPr>
      </w:r>
    </w:p>
    <w:p/>
    <w:tbl>
      <w:tblPr>
        <w:tblStyle w:val="TableGrid"/>
        <w:tblW w:type="auto" w:w="0"/>
        <w:tblLook w:firstColumn="1" w:firstRow="1" w:lastColumn="0" w:lastRow="0" w:noHBand="0" w:noVBand="1" w:val="04A0"/>
      </w:tblPr>
      <w:tblGrid>
        <w:gridCol w:w="4320"/>
        <w:gridCol w:w="4320"/>
      </w:tblGrid>
      <w:tr>
        <w:tc>
          <w:tcPr>
            <w:tcW w:type="dxa" w:w="4320"/>
          </w:tcPr>
          <w:p>
            <w:r>
              <w:rPr>
                <w:b/>
              </w:rPr>
              <w:t>Ubicación</w:t>
            </w:r>
          </w:p>
        </w:tc>
        <w:tc>
          <w:tcPr>
            <w:tcW w:type="dxa" w:w="4320"/>
          </w:tcPr>
          <w:p>
            <w:r/>
          </w:p>
        </w:tc>
      </w:tr>
      <w:tr>
        <w:tc>
          <w:tcPr>
            <w:tcW w:type="dxa" w:w="4320"/>
          </w:tcPr>
          <w:p>
            <w:r>
              <w:rPr>
                <w:b/>
              </w:rPr>
              <w:t>CCAA</w:t>
            </w:r>
          </w:p>
        </w:tc>
        <w:tc>
          <w:tcPr>
            <w:tcW w:type="dxa" w:w="4320"/>
          </w:tcPr>
          <w:p>
            <w:r>
              <w:t>Andalucía</w:t>
            </w:r>
          </w:p>
        </w:tc>
      </w:tr>
      <w:tr>
        <w:tc>
          <w:tcPr>
            <w:tcW w:type="dxa" w:w="4320"/>
          </w:tcPr>
          <w:p>
            <w:r>
              <w:rPr>
                <w:b/>
              </w:rPr>
              <w:t>Tipo</w:t>
            </w:r>
          </w:p>
        </w:tc>
        <w:tc>
          <w:tcPr>
            <w:tcW w:type="dxa" w:w="4320"/>
          </w:tcPr>
          <w:p>
            <w:r>
              <w:t>Selecciona una opción</w:t>
            </w:r>
          </w:p>
        </w:tc>
      </w:tr>
      <w:tr>
        <w:tc>
          <w:tcPr>
            <w:tcW w:type="dxa" w:w="4320"/>
          </w:tcPr>
          <w:p>
            <w:r>
              <w:rPr>
                <w:b/>
              </w:rPr>
              <w:t>Fecha</w:t>
            </w:r>
          </w:p>
        </w:tc>
        <w:tc>
          <w:tcPr>
            <w:tcW w:type="dxa" w:w="4320"/>
          </w:tcPr>
          <w:p>
            <w:r>
              <w:t>03/08/2026</w:t>
            </w:r>
          </w:p>
        </w:tc>
      </w:tr>
    </w:tbl>
    <w:p/>
    <w:p>
      <w:pPr>
        <w:jc w:val="center"/>
      </w:pPr>
      <w:r>
        <w:rPr>
          <w:i/>
          <w:color w:val="EF6C00"/>
          <w:sz w:val="18"/>
        </w:rPr>
        <w:t>⚠️  Borrador generado con IA. Revisar antes de presentación oficial.</w:t>
      </w:r>
    </w:p>
    <w:p>
      <w:r>
        <w:br w:type="page"/>
      </w:r>
    </w:p>
    <w:p>
      <w:pPr>
        <w:pStyle w:val="Heading1"/>
      </w:pPr>
      <w:r>
        <w:rPr>
          <w:color w:val="2E7D32"/>
        </w:rPr>
        <w:t>Inventario Faunístico —</w:t>
      </w:r>
    </w:p>
    <w:p>
      <w:r/>
      <w:r>
        <w:rPr>
          <w:i/>
        </w:rPr>
        <w:t>Fuente: IEET/BDIEET (MITECO) | Cuadrículas: 30STF95</w:t>
      </w:r>
      <w:r/>
    </w:p>
    <w:p>
      <w:r/>
      <w:r>
        <w:rPr>
          <w:i/>
        </w:rPr>
        <w:t>EnviroAssist AI · 03/08/2026 12:08</w:t>
      </w:r>
      <w:r/>
    </w:p>
    <w:p>
      <w:r/>
      <w:r>
        <w:rPr>
          <w:i/>
        </w:rPr>
        <w:t>Base normativa: LESRPE/CEEA (RD 139/2011, MITECO junio 2025) + Andalucía</w:t>
      </w:r>
      <w:r/>
    </w:p>
    <w:p/>
    <w:p/>
    <w:p/>
    <w:p>
      <w:pPr>
        <w:pStyle w:val="Heading2"/>
      </w:pPr>
      <w:r>
        <w:rPr>
          <w:color w:val="2E7D32"/>
        </w:rPr>
        <w:t>1. Resumen</w:t>
      </w:r>
    </w:p>
    <w:p/>
    <w:p/>
    <w:p/>
    <w:p/>
    <w:p>
      <w:pPr>
        <w:pStyle w:val="Heading2"/>
      </w:pPr>
      <w:r>
        <w:rPr>
          <w:color w:val="2E7D32"/>
        </w:rPr>
        <w:t>2. Especies con estatus de protección</w:t>
      </w:r>
    </w:p>
    <w:p/>
    <w:p/>
    <w:p/>
    <w:p>
      <w:r/>
      <w:r>
        <w:rPr>
          <w:b/>
        </w:rPr>
        <w:t>Fuentes normativas:</w:t>
      </w:r>
      <w:r/>
    </w:p>
    <w:p>
      <w:pPr>
        <w:pStyle w:val="ListBullet"/>
      </w:pPr>
      <w:r>
        <w:t>Nacional: RD 139/2011 — LESRPE/CEEA (MITECO, junio 2025)</w:t>
      </w:r>
    </w:p>
    <w:p>
      <w:pPr>
        <w:pStyle w:val="ListBullet"/>
      </w:pPr>
      <w:r>
        <w:t>Autonómica: Cargado desde: CREA_Andalucia.xlsx</w:t>
      </w:r>
    </w:p>
    <w:p/>
    <w:p/>
    <w:p/>
    <w:p>
      <w:pPr>
        <w:pStyle w:val="Heading2"/>
      </w:pPr>
      <w:r>
        <w:rPr>
          <w:color w:val="2E7D32"/>
        </w:rPr>
        <w:t>3. Redacción técnica para el EsIA</w:t>
      </w:r>
    </w:p>
    <w:p/>
    <w:p>
      <w:r/>
      <w:r>
        <w:rPr>
          <w:b/>
        </w:rPr>
        <w:t>Inventario Faunístico del Estudio de Impacto Ambiental (EsIA) para el Proyecto en Cuadrículas IEET: 30STF95</w:t>
      </w:r>
      <w:r/>
    </w:p>
    <w:p/>
    <w:p>
      <w:r/>
      <w:r>
        <w:rPr>
          <w:b/>
        </w:rPr>
        <w:t>Metodología</w:t>
      </w:r>
      <w:r/>
    </w:p>
    <w:p/>
    <w:p>
      <w:r>
        <w:t>El presente inventario faunístico se ha elaborado siguiendo las metodologías establecidas por el Instituto Español de Ecología Terrestre (IEET) y la Base de Datos de Especies Silvestres en España (BDIEET), gestionada por el Ministerio para la Transición Ecológica y el Reto Demográfico (MITECO). Se ha llevado a cabo un exhaustivo análisis de las especies presentes en las cuadrículas IEET: 30STF95, identificando un total de 158 especies distribuidas en varios grupos taxonómicos. Este inventario se centra en la detección y evaluación de la presencia de especies protegidas conforme a la Ley de Espacios Naturales y de la Flora y Fauna Silvestres (LESRPE) y normativas autonómicas, particularmente las aplicables en Andalucía.</w:t>
      </w:r>
    </w:p>
    <w:p/>
    <w:p>
      <w:r/>
      <w:r>
        <w:rPr>
          <w:b/>
        </w:rPr>
        <w:t>Resultados por Grupos Taxonómicos</w:t>
      </w:r>
      <w:r/>
    </w:p>
    <w:p/>
    <w:p>
      <w:r>
        <w:t xml:space="preserve">En el grupo de los anfibios, se han identificado seis especies relevantes. Entre ellas destacan </w:t>
      </w:r>
      <w:r>
        <w:rPr>
          <w:i/>
        </w:rPr>
        <w:t>Discoglossus jeanneae</w:t>
      </w:r>
      <w:r>
        <w:t xml:space="preserve">, conocida como Sapillo pintojo meridional, y </w:t>
      </w:r>
      <w:r>
        <w:rPr>
          <w:i/>
        </w:rPr>
        <w:t>Salamandra salamandra</w:t>
      </w:r>
      <w:r>
        <w:t>. Estas especies son indicativas de la calidad del hábitat acuático presente en la zona.</w:t>
      </w:r>
    </w:p>
    <w:p/>
    <w:p>
      <w:r>
        <w:t>El grupo de las aves es el más diverso con un total de 94 especies. Entre ellas se encuentran el Trepador azul (</w:t>
      </w:r>
      <w:r>
        <w:rPr>
          <w:i/>
        </w:rPr>
        <w:t>Sitta europaea</w:t>
      </w:r>
      <w:r>
        <w:t>), la Golondrina daúrica (</w:t>
      </w:r>
      <w:r>
        <w:rPr>
          <w:i/>
        </w:rPr>
        <w:t>Cecropis daurica</w:t>
      </w:r>
      <w:r>
        <w:t>) y el Piquituerto común (</w:t>
      </w:r>
      <w:r>
        <w:rPr>
          <w:i/>
        </w:rPr>
        <w:t>Loxia curvirostra</w:t>
      </w:r>
      <w:r>
        <w:t>). Estas aves reflejan una rica biodiversidad ornitológica, con especies que utilizan diferentes nichos ecológicos.</w:t>
      </w:r>
    </w:p>
    <w:p/>
    <w:p>
      <w:r>
        <w:t xml:space="preserve">En cuanto a los invertebrados, se han registrado seis especies. Entre ellas, </w:t>
      </w:r>
      <w:r>
        <w:rPr>
          <w:i/>
        </w:rPr>
        <w:t>Macrothele calpeiana</w:t>
      </w:r>
      <w:r>
        <w:t xml:space="preserve"> y </w:t>
      </w:r>
      <w:r>
        <w:rPr>
          <w:i/>
        </w:rPr>
        <w:t>Nebrioporus canaliculatus</w:t>
      </w:r>
      <w:r>
        <w:t>, aunque no poseen nombres comunes registrados, son importantes para la evaluación del estado de conservación del suelo y el agua.</w:t>
      </w:r>
    </w:p>
    <w:p/>
    <w:p>
      <w:r>
        <w:t>El grupo de los mamíferos incluye 32 especies. Destacan el Murciélago ratonero grande (</w:t>
      </w:r>
      <w:r>
        <w:rPr>
          <w:i/>
        </w:rPr>
        <w:t>Myotis myotis</w:t>
      </w:r>
      <w:r>
        <w:t>), la Nutria (</w:t>
      </w:r>
      <w:r>
        <w:rPr>
          <w:i/>
        </w:rPr>
        <w:t>Lutra lutra</w:t>
      </w:r>
      <w:r>
        <w:t xml:space="preserve">) y varios murciélagos como </w:t>
      </w:r>
      <w:r>
        <w:rPr>
          <w:i/>
        </w:rPr>
        <w:t>Rhinolophus ferrumequinum</w:t>
      </w:r>
      <w:r>
        <w:t>. Estas especies son cruciales para entender las dinámicas de los ecosistemas terrestres y acuáticos.</w:t>
      </w:r>
    </w:p>
    <w:p/>
    <w:p>
      <w:r>
        <w:t>En el grupo de los peces continentales, se han identificado siete especies. Aunque no todas tienen nombres comunes registrados, su presencia es indicativa de la calidad del agua en los cuerpos hídricos de la región.</w:t>
      </w:r>
    </w:p>
    <w:p/>
    <w:p>
      <w:r>
        <w:t>Finalmente, entre los reptiles, se han encontrado 13 especies, incluyendo la Salamanquesa común (</w:t>
      </w:r>
      <w:r>
        <w:rPr>
          <w:i/>
        </w:rPr>
        <w:t>Tarentola mauritanica</w:t>
      </w:r>
      <w:r>
        <w:t>) y la Víbora hocicuda (</w:t>
      </w:r>
      <w:r>
        <w:rPr>
          <w:i/>
        </w:rPr>
        <w:t>Vipera latastei</w:t>
      </w:r>
      <w:r>
        <w:t>). Estas especies son indicativas de la diversidad de hábitats terrestres disponibles.</w:t>
      </w:r>
    </w:p>
    <w:p/>
    <w:p>
      <w:r/>
      <w:r>
        <w:rPr>
          <w:b/>
        </w:rPr>
        <w:t>Especies de Interés</w:t>
      </w:r>
      <w:r/>
    </w:p>
    <w:p/>
    <w:p>
      <w:r>
        <w:t>Dentro del inventario, se han identificado varias especies protegidas conforme a la RD 139/2011 y normativa autonómica. Entre ellas, el Murciélago ratonero grande (</w:t>
      </w:r>
      <w:r>
        <w:rPr>
          <w:i/>
        </w:rPr>
        <w:t>Myotis myotis</w:t>
      </w:r>
      <w:r>
        <w:t>) y el Murciélago grande de herradura (</w:t>
      </w:r>
      <w:r>
        <w:rPr>
          <w:i/>
        </w:rPr>
        <w:t>Rhinolophus ferrumequinum</w:t>
      </w:r>
      <w:r>
        <w:t>), ambos catalogados como Vulnerables en la LESRPE y con un estatus similar en Andalucía. La Salamanquesa común (</w:t>
      </w:r>
      <w:r>
        <w:rPr>
          <w:i/>
        </w:rPr>
        <w:t>Tarentola mauritanica</w:t>
      </w:r>
      <w:r>
        <w:t>) y la Víbora hocicuda (</w:t>
      </w:r>
      <w:r>
        <w:rPr>
          <w:i/>
        </w:rPr>
        <w:t>Vipera latastei</w:t>
      </w:r>
      <w:r>
        <w:t>) están incluidas en el listado de especies protegidas tanto a nivel nacional como autonómico.</w:t>
      </w:r>
    </w:p>
    <w:p/>
    <w:p>
      <w:r/>
      <w:r>
        <w:rPr>
          <w:b/>
        </w:rPr>
        <w:t>Valoración de la Sensibilidad Faunística</w:t>
      </w:r>
      <w:r/>
    </w:p>
    <w:p/>
    <w:p>
      <w:r>
        <w:t>La sensibilidad faunística del área es alta debido a la presencia de múltiples especies protegidas y la diversidad observada en los diferentes grupos taxonómicos. La conservación de estos hábitats es crucial para mantener la biodiversidad regional, lo que requiere una planificación cuidadosa del proyecto para minimizar impactos negativos sobre estas especies y sus ecosistemas.</w:t>
      </w:r>
    </w:p>
    <w:p/>
    <w:p>
      <w:r>
        <w:t>En conclusión, el inventario faunístico refleja una rica diversidad biológica en las cuadrículas IEET: 30STF95. La presencia de numerosas especies protegidas subraya la importancia de implementar medidas de mitigación adecuadas para asegurar la conservación de estos valiosos recursos naturales durante el desarrollo del proyecto.</w:t>
      </w:r>
    </w:p>
    <w:p/>
    <w:p/>
    <w:p/>
    <w:p>
      <w:pPr>
        <w:pStyle w:val="Heading2"/>
      </w:pPr>
      <w:r>
        <w:rPr>
          <w:color w:val="2E7D32"/>
        </w:rPr>
        <w:t>4. Listado completo</w:t>
      </w:r>
    </w:p>
    <w:p/>
    <w:p/>
    <w:p/>
    <w:p>
      <w:r/>
      <w:r>
        <w:rPr>
          <w:i/>
        </w:rPr>
        <w:t xml:space="preserve"> Borrador generado con IA. Revisar y validar antes de presentación oficial.</w:t>
      </w:r>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EnviroAssist AI · Borrador · 03/08/2026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