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36"/>
        </w:rPr>
        <w:t>🌿 EnviroAssist AI</w:t>
      </w:r>
    </w:p>
    <w:p/>
    <w:p>
      <w:pPr>
        <w:jc w:val="center"/>
      </w:pPr>
      <w:r>
        <w:rPr>
          <w:b/>
          <w:sz w:val="28"/>
        </w:rPr>
        <w:t>Planta solar El Álamo</w:t>
      </w:r>
    </w:p>
    <w:p/>
    <w:tbl>
      <w:tblPr>
        <w:tblStyle w:val="TableGrid"/>
        <w:tblW w:type="auto" w:w="0"/>
        <w:tblLook w:firstColumn="1" w:firstRow="1" w:lastColumn="0" w:lastRow="0" w:noHBand="0" w:noVBand="1" w:val="04A0"/>
      </w:tblPr>
      <w:tblGrid>
        <w:gridCol w:w="4320"/>
        <w:gridCol w:w="4320"/>
      </w:tblGrid>
      <w:tr>
        <w:tc>
          <w:tcPr>
            <w:tcW w:type="dxa" w:w="4320"/>
          </w:tcPr>
          <w:p>
            <w:r>
              <w:rPr>
                <w:b/>
              </w:rPr>
              <w:t>Ubicación</w:t>
            </w:r>
          </w:p>
        </w:tc>
        <w:tc>
          <w:tcPr>
            <w:tcW w:type="dxa" w:w="4320"/>
          </w:tcPr>
          <w:p>
            <w:r>
              <w:t>Municipio de El Álamo</w:t>
            </w:r>
          </w:p>
        </w:tc>
      </w:tr>
      <w:tr>
        <w:tc>
          <w:tcPr>
            <w:tcW w:type="dxa" w:w="4320"/>
          </w:tcPr>
          <w:p>
            <w:r>
              <w:rPr>
                <w:b/>
              </w:rPr>
              <w:t>CCAA</w:t>
            </w:r>
          </w:p>
        </w:tc>
        <w:tc>
          <w:tcPr>
            <w:tcW w:type="dxa" w:w="4320"/>
          </w:tcPr>
          <w:p>
            <w:r>
              <w:t>Madrid</w:t>
            </w:r>
          </w:p>
        </w:tc>
      </w:tr>
      <w:tr>
        <w:tc>
          <w:tcPr>
            <w:tcW w:type="dxa" w:w="4320"/>
          </w:tcPr>
          <w:p>
            <w:r>
              <w:rPr>
                <w:b/>
              </w:rPr>
              <w:t>Tipo</w:t>
            </w:r>
          </w:p>
        </w:tc>
        <w:tc>
          <w:tcPr>
            <w:tcW w:type="dxa" w:w="4320"/>
          </w:tcPr>
          <w:p>
            <w:r>
              <w:t>Planta solar fotovoltaica</w:t>
            </w:r>
          </w:p>
        </w:tc>
      </w:tr>
      <w:tr>
        <w:tc>
          <w:tcPr>
            <w:tcW w:type="dxa" w:w="4320"/>
          </w:tcPr>
          <w:p>
            <w:r>
              <w:rPr>
                <w:b/>
              </w:rPr>
              <w:t>Fecha</w:t>
            </w:r>
          </w:p>
        </w:tc>
        <w:tc>
          <w:tcPr>
            <w:tcW w:type="dxa" w:w="4320"/>
          </w:tcPr>
          <w:p>
            <w:r>
              <w:t>03/08/2026</w:t>
            </w:r>
          </w:p>
        </w:tc>
      </w:tr>
    </w:tbl>
    <w:p/>
    <w:p>
      <w:pPr>
        <w:jc w:val="center"/>
      </w:pPr>
      <w:r>
        <w:rPr>
          <w:i/>
          <w:color w:val="EF6C00"/>
          <w:sz w:val="18"/>
        </w:rPr>
        <w:t>⚠️  Borrador generado con IA. Revisar antes de presentación oficial.</w:t>
      </w:r>
    </w:p>
    <w:p>
      <w:r>
        <w:br w:type="page"/>
      </w:r>
    </w:p>
    <w:p>
      <w:pPr>
        <w:pStyle w:val="Heading1"/>
      </w:pPr>
      <w:r>
        <w:rPr>
          <w:color w:val="2E7D32"/>
        </w:rPr>
        <w:t>Inventario Faunístico — Planta solar El Álamo</w:t>
      </w:r>
    </w:p>
    <w:p>
      <w:r/>
      <w:r>
        <w:rPr>
          <w:i/>
        </w:rPr>
        <w:t>Fuente: IEET/BDIEET (MITECO) | Cuadrículas: 30TVK15</w:t>
      </w:r>
      <w:r/>
    </w:p>
    <w:p>
      <w:r/>
      <w:r>
        <w:rPr>
          <w:i/>
        </w:rPr>
        <w:t>EnviroAssist AI · 03/08/2026 11:40</w:t>
      </w:r>
      <w:r/>
    </w:p>
    <w:p>
      <w:r/>
      <w:r>
        <w:rPr>
          <w:i/>
        </w:rPr>
        <w:t>Base normativa: LESRPE/CEEA (RD 139/2011, MITECO junio 2025) + Madrid</w:t>
      </w:r>
      <w:r/>
    </w:p>
    <w:p/>
    <w:p/>
    <w:p/>
    <w:p>
      <w:pPr>
        <w:pStyle w:val="Heading2"/>
      </w:pPr>
      <w:r>
        <w:rPr>
          <w:color w:val="2E7D32"/>
        </w:rPr>
        <w:t>1. Resumen</w:t>
      </w:r>
    </w:p>
    <w:p/>
    <w:p/>
    <w:p/>
    <w:p/>
    <w:p>
      <w:pPr>
        <w:pStyle w:val="Heading2"/>
      </w:pPr>
      <w:r>
        <w:rPr>
          <w:color w:val="2E7D32"/>
        </w:rPr>
        <w:t>2. Especies con estatus de protección</w:t>
      </w:r>
    </w:p>
    <w:p/>
    <w:p/>
    <w:p/>
    <w:p>
      <w:r/>
      <w:r>
        <w:rPr>
          <w:b/>
        </w:rPr>
        <w:t>Fuentes normativas:</w:t>
      </w:r>
      <w:r/>
    </w:p>
    <w:p>
      <w:pPr>
        <w:pStyle w:val="ListBullet"/>
      </w:pPr>
      <w:r>
        <w:t>Nacional: RD 139/2011 — LESRPE/CEEA (MITECO, junio 2025)</w:t>
      </w:r>
    </w:p>
    <w:p>
      <w:pPr>
        <w:pStyle w:val="ListBullet"/>
      </w:pPr>
      <w:r>
        <w:t>Autonómica: Decreto 18/1992, de 26 de marzo, por el</w:t>
      </w:r>
    </w:p>
    <w:p/>
    <w:p/>
    <w:p/>
    <w:p>
      <w:pPr>
        <w:pStyle w:val="Heading2"/>
      </w:pPr>
      <w:r>
        <w:rPr>
          <w:color w:val="2E7D32"/>
        </w:rPr>
        <w:t>3. Redacción técnica para el EsIA</w:t>
      </w:r>
    </w:p>
    <w:p/>
    <w:p>
      <w:r/>
      <w:r>
        <w:rPr>
          <w:b/>
        </w:rPr>
        <w:t>Inventario Faunístico del Proyecto "Planta Solar El Álamo"</w:t>
      </w:r>
      <w:r/>
    </w:p>
    <w:p/>
    <w:p>
      <w:r/>
      <w:r>
        <w:rPr>
          <w:b/>
        </w:rPr>
        <w:t>Metodología</w:t>
      </w:r>
      <w:r/>
    </w:p>
    <w:p/>
    <w:p>
      <w:r>
        <w:t>El presente inventario faunístico se ha desarrollado siguiendo las directrices establecidas en el Inventario Español de Especies Amenazadas (IEET) y la Base de Datos de Interés Ecológico, Especialmente Protegido o de Importancia Comunitaria (BDIEET), ambos gestionados por el Ministerio para la Transición Ecológica y el Reto Demográfico (MITECO). La metodología ha incluido una revisión exhaustiva de las especies presentes en la cuadrícula IEET 30TVK15, donde se han identificado un total de 129 especies distribuidas entre anfibios, aves, mamíferos, peces continentales y reptiles. Esta evaluación ha permitido no solo catalogar las especies presentes sino también determinar su estado de conservación según la normativa vigente.</w:t>
      </w:r>
    </w:p>
    <w:p/>
    <w:p>
      <w:r/>
      <w:r>
        <w:rPr>
          <w:b/>
        </w:rPr>
        <w:t>Resultados por Grupos Taxonómicos</w:t>
      </w:r>
      <w:r/>
    </w:p>
    <w:p/>
    <w:p>
      <w:r>
        <w:t xml:space="preserve">En el grupo de los anfibios, se han identificado cinco especies que habitan en la cuadrícula 30TVK15. Entre ellas destacan el </w:t>
      </w:r>
      <w:r>
        <w:rPr>
          <w:i/>
        </w:rPr>
        <w:t>Alytes cisternasii</w:t>
      </w:r>
      <w:r>
        <w:t xml:space="preserve"> (Sapo partero ibérico) y el </w:t>
      </w:r>
      <w:r>
        <w:rPr>
          <w:i/>
        </w:rPr>
        <w:t>Pelobates cultripes</w:t>
      </w:r>
      <w:r>
        <w:t xml:space="preserve"> (Sapo de espuelas), ambos relevantes por su presencia en hábitats acuáticos temporales que podrían verse afectados por la construcción del proyecto. También se han observado el </w:t>
      </w:r>
      <w:r>
        <w:rPr>
          <w:i/>
        </w:rPr>
        <w:t>Bufo calamita</w:t>
      </w:r>
      <w:r>
        <w:t xml:space="preserve"> (Sapo corredor) y dos especies sin nombre común registrado, </w:t>
      </w:r>
      <w:r>
        <w:rPr>
          <w:i/>
        </w:rPr>
        <w:t>Pelophylax perezi</w:t>
      </w:r>
      <w:r>
        <w:t xml:space="preserve"> y </w:t>
      </w:r>
      <w:r>
        <w:rPr>
          <w:i/>
        </w:rPr>
        <w:t>Rana perezi</w:t>
      </w:r>
      <w:r>
        <w:t>, cuya presencia subraya la importancia de proteger los microhábitats acuáticos.</w:t>
      </w:r>
    </w:p>
    <w:p/>
    <w:p>
      <w:r>
        <w:t xml:space="preserve">En cuanto a las aves, el inventario ha revelado una rica diversidad con un total de 82 especies. Entre ellas, se encuentran el </w:t>
      </w:r>
      <w:r>
        <w:rPr>
          <w:i/>
        </w:rPr>
        <w:t>Remiz pendulinus</w:t>
      </w:r>
      <w:r>
        <w:t xml:space="preserve"> (Pájaro moscón) y la </w:t>
      </w:r>
      <w:r>
        <w:rPr>
          <w:i/>
        </w:rPr>
        <w:t>Cecropis daurica</w:t>
      </w:r>
      <w:r>
        <w:t xml:space="preserve"> (Golondrina daúrica), ambas incluidas en el Listado Español de Especies Silvestres en Régimen de Protección Especial (LESRPE). Además, se han identificado especies como el </w:t>
      </w:r>
      <w:r>
        <w:rPr>
          <w:i/>
        </w:rPr>
        <w:t>Circus aeruginosus</w:t>
      </w:r>
      <w:r>
        <w:t xml:space="preserve">, catalogado como vulnerable y sensible según la normativa autonómica de Madrid. Otros ejemplos relevantes incluyen al </w:t>
      </w:r>
      <w:r>
        <w:rPr>
          <w:i/>
        </w:rPr>
        <w:t>Falco tinnunculus</w:t>
      </w:r>
      <w:r>
        <w:t xml:space="preserve"> (Cernícalo común) y al </w:t>
      </w:r>
      <w:r>
        <w:rPr>
          <w:i/>
        </w:rPr>
        <w:t>Buteo buteo</w:t>
      </w:r>
      <w:r>
        <w:t xml:space="preserve"> (Ratonero común), ambos también protegidos por el LESRPE.</w:t>
      </w:r>
    </w:p>
    <w:p/>
    <w:p>
      <w:r>
        <w:t xml:space="preserve">El grupo de mamíferos presenta 22 especies, entre las que se encuentran el </w:t>
      </w:r>
      <w:r>
        <w:rPr>
          <w:i/>
        </w:rPr>
        <w:t>Felis silvestris</w:t>
      </w:r>
      <w:r>
        <w:t xml:space="preserve">, el </w:t>
      </w:r>
      <w:r>
        <w:rPr>
          <w:i/>
        </w:rPr>
        <w:t>Vulpes vulpes</w:t>
      </w:r>
      <w:r>
        <w:t xml:space="preserve"> y el </w:t>
      </w:r>
      <w:r>
        <w:rPr>
          <w:i/>
        </w:rPr>
        <w:t>Apodemus sylvaticus</w:t>
      </w:r>
      <w:r>
        <w:t>. Aunque muchas de estas especies no están incluidas en listas de protección específicas, su presencia es indicativa de la salud del ecosistema local.</w:t>
      </w:r>
    </w:p>
    <w:p/>
    <w:p>
      <w:r>
        <w:t xml:space="preserve">En lo que respecta a los peces continentales, se han identificado 12 especies. Destacan el </w:t>
      </w:r>
      <w:r>
        <w:rPr>
          <w:i/>
        </w:rPr>
        <w:t>Chondrostoma arcasii</w:t>
      </w:r>
      <w:r>
        <w:t xml:space="preserve"> (Bermejuela) y el </w:t>
      </w:r>
      <w:r>
        <w:rPr>
          <w:i/>
        </w:rPr>
        <w:t>Barbus bocagei</w:t>
      </w:r>
      <w:r>
        <w:t>, ambos incluidos en el LESRPE. La presencia de estas especies subraya la importancia de los cuerpos de agua dulce dentro del área de estudio.</w:t>
      </w:r>
    </w:p>
    <w:p/>
    <w:p>
      <w:r>
        <w:t xml:space="preserve">Finalmente, entre los reptiles se han registrado ocho especies, incluyendo al </w:t>
      </w:r>
      <w:r>
        <w:rPr>
          <w:i/>
        </w:rPr>
        <w:t>Psammodromus algirus</w:t>
      </w:r>
      <w:r>
        <w:t xml:space="preserve"> (Lagartija colilarga) y al </w:t>
      </w:r>
      <w:r>
        <w:rPr>
          <w:i/>
        </w:rPr>
        <w:t>Timon lepidus</w:t>
      </w:r>
      <w:r>
        <w:t xml:space="preserve"> (Lagarto ocelado). La presencia de estas especies es crucial para evaluar el impacto potencial del proyecto en los hábitats terrestres.</w:t>
      </w:r>
    </w:p>
    <w:p/>
    <w:p>
      <w:r/>
      <w:r>
        <w:rPr>
          <w:b/>
        </w:rPr>
        <w:t>Especies de Interés</w:t>
      </w:r>
      <w:r/>
    </w:p>
    <w:p/>
    <w:p>
      <w:r>
        <w:t xml:space="preserve">De acuerdo con la Real Decreto 139/2011, que regula las medidas de protección de determinadas aves y sus hábitats, así como la normativa autonómica de Madrid, se han identificado varias especies de interés. Entre ellas, el </w:t>
      </w:r>
      <w:r>
        <w:rPr>
          <w:i/>
        </w:rPr>
        <w:t>Tetrax tetrax</w:t>
      </w:r>
      <w:r>
        <w:t xml:space="preserve"> (Sisón), catalogado en peligro de extinción a nivel nacional y sensible en la región de Madrid, y el </w:t>
      </w:r>
      <w:r>
        <w:rPr>
          <w:i/>
        </w:rPr>
        <w:t>Burhinus oedicnemus</w:t>
      </w:r>
      <w:r>
        <w:t xml:space="preserve"> (Alcaraván), considerado vulnerable a nivel estatal e interés especial en Madrid. Estas especies requieren medidas específicas para mitigar cualquier impacto negativo derivado del desarrollo del proyecto.</w:t>
      </w:r>
    </w:p>
    <w:p/>
    <w:p>
      <w:r/>
      <w:r>
        <w:rPr>
          <w:b/>
        </w:rPr>
        <w:t>Valoración de la Sensibilidad Faunística</w:t>
      </w:r>
      <w:r/>
    </w:p>
    <w:p/>
    <w:p>
      <w:r>
        <w:t>La valoración de la sensibilidad faunística del área indica que el proyecto "Planta Solar El Álamo" se desarrolla en una región con una biodiversidad significativa y varias especies protegidas. La presencia de especies incluidas en el LESRPE y otras catalogadas como vulnerables o sensibles subraya la necesidad de implementar medidas de mitigación adecuadas para minimizar los impactos negativos sobre estos valiosos recursos naturales. Se recomienda una monitorización continua durante las fases de construcción y operación del proyecto, así como la creación de corredores ecológicos que permitan el movimiento seguro de fauna a través del área afectada.</w:t>
      </w:r>
    </w:p>
    <w:p/>
    <w:p>
      <w:r>
        <w:t>En resumen, el inventario faunístico para el proyecto "Planta Solar El Álamo" revela una rica diversidad biológica y subraya la importancia de adoptar medidas de conservación efectivas para proteger las especies presentes en la cuadrícula IEET 30TVK15.</w:t>
      </w:r>
    </w:p>
    <w:p/>
    <w:p/>
    <w:p/>
    <w:p>
      <w:pPr>
        <w:pStyle w:val="Heading2"/>
      </w:pPr>
      <w:r>
        <w:rPr>
          <w:color w:val="2E7D32"/>
        </w:rPr>
        <w:t>4. Listado completo</w:t>
      </w:r>
    </w:p>
    <w:p/>
    <w:p/>
    <w:p/>
    <w:p>
      <w:r/>
      <w:r>
        <w:rPr>
          <w:i/>
        </w:rPr>
        <w:t xml:space="preserve"> Borrador generado con IA. Revisar y validar antes de presentación oficial.</w:t>
      </w:r>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EnviroAssist AI · Borrador · 03/08/2026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